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E05E7B"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05E7B" w:rsidRDefault="00E05E7B" w:rsidP="00E91933">
            <w:pPr>
              <w:pStyle w:val="DHHSreportsubtitlewhite"/>
              <w:rPr>
                <w:sz w:val="50"/>
                <w:szCs w:val="50"/>
              </w:rPr>
            </w:pPr>
            <w:r w:rsidRPr="00E05E7B">
              <w:rPr>
                <w:sz w:val="50"/>
                <w:szCs w:val="50"/>
              </w:rPr>
              <w:t xml:space="preserve">Change Our Game </w:t>
            </w:r>
            <w:r w:rsidR="005C2684">
              <w:rPr>
                <w:sz w:val="50"/>
                <w:szCs w:val="50"/>
              </w:rPr>
              <w:t xml:space="preserve">Research </w:t>
            </w:r>
            <w:r w:rsidR="005127A7">
              <w:rPr>
                <w:sz w:val="50"/>
                <w:szCs w:val="50"/>
              </w:rPr>
              <w:t>Grant Program</w:t>
            </w:r>
          </w:p>
          <w:p w:rsidR="00444D82" w:rsidRPr="003072C6" w:rsidRDefault="003F108C" w:rsidP="00F601A8">
            <w:pPr>
              <w:pStyle w:val="DHHSreportsubtitlewhite"/>
            </w:pPr>
            <w:r>
              <w:rPr>
                <w:szCs w:val="28"/>
              </w:rPr>
              <w:t>2018</w:t>
            </w:r>
            <w:r w:rsidR="00F601A8">
              <w:rPr>
                <w:szCs w:val="28"/>
              </w:rPr>
              <w:t>-</w:t>
            </w:r>
            <w:r>
              <w:rPr>
                <w:szCs w:val="28"/>
              </w:rPr>
              <w:t xml:space="preserve">19 </w:t>
            </w:r>
            <w:r w:rsidR="00E05E7B">
              <w:rPr>
                <w:szCs w:val="28"/>
              </w:rPr>
              <w:t>Application Guidelines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AC0C3B" w:rsidRPr="003072C6" w:rsidRDefault="00E05E7B" w:rsidP="00CA6D4E">
      <w:pPr>
        <w:pStyle w:val="DHHSbodynospace"/>
      </w:pPr>
      <w:r>
        <w:rPr>
          <w:noProof/>
          <w:lang w:eastAsia="en-AU"/>
        </w:rPr>
        <mc:AlternateContent>
          <mc:Choice Requires="wps">
            <w:drawing>
              <wp:anchor distT="0" distB="0" distL="114300" distR="114300" simplePos="0" relativeHeight="251657216" behindDoc="0" locked="0" layoutInCell="1" allowOverlap="1" wp14:anchorId="40557A75" wp14:editId="2A47A2D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57A75"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Default="00564E8F"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Default="003C6BDE" w:rsidP="00031263">
            <w:pPr>
              <w:pStyle w:val="DHHSbody"/>
              <w:rPr>
                <w:i/>
                <w:color w:val="008950"/>
                <w:sz w:val="26"/>
                <w:szCs w:val="26"/>
              </w:rPr>
            </w:pPr>
          </w:p>
          <w:p w:rsidR="003C6BDE" w:rsidRPr="00605B5B" w:rsidRDefault="003C6BDE"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Department of </w:t>
            </w:r>
            <w:r w:rsidR="006A7D9F">
              <w:rPr>
                <w:rFonts w:ascii="Arial" w:eastAsia="Times" w:hAnsi="Arial"/>
              </w:rPr>
              <w:t xml:space="preserve">Jobs, Precincts and Regions </w:t>
            </w:r>
            <w:r w:rsidR="003C6BDE">
              <w:rPr>
                <w:rFonts w:ascii="Arial" w:eastAsia="Times" w:hAnsi="Arial"/>
              </w:rPr>
              <w:t>February</w:t>
            </w:r>
            <w:r w:rsidR="000A4D21" w:rsidRPr="000A4D21">
              <w:rPr>
                <w:rFonts w:ascii="Arial" w:eastAsia="Times" w:hAnsi="Arial"/>
              </w:rPr>
              <w:t xml:space="preserve"> 201</w:t>
            </w:r>
            <w:r w:rsidR="006A7D9F">
              <w:rPr>
                <w:rFonts w:ascii="Arial" w:eastAsia="Times" w:hAnsi="Arial"/>
              </w:rPr>
              <w:t>9</w:t>
            </w:r>
            <w:r w:rsidRPr="000A4D21">
              <w:rPr>
                <w:rFonts w:ascii="Arial" w:eastAsia="Times" w:hAnsi="Arial"/>
              </w:rPr>
              <w:t>.</w:t>
            </w:r>
          </w:p>
          <w:p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rsidR="00605B5B" w:rsidRPr="000A4D21" w:rsidRDefault="00605B5B" w:rsidP="00605B5B">
            <w:pPr>
              <w:spacing w:after="120" w:line="270" w:lineRule="atLeast"/>
              <w:rPr>
                <w:rFonts w:ascii="Arial" w:eastAsia="Times" w:hAnsi="Arial"/>
                <w:szCs w:val="19"/>
              </w:rPr>
            </w:pPr>
            <w:r w:rsidRPr="000A4D21">
              <w:rPr>
                <w:rFonts w:ascii="Arial" w:eastAsia="Times" w:hAnsi="Arial"/>
                <w:szCs w:val="19"/>
              </w:rPr>
              <w:t>Available at</w:t>
            </w:r>
            <w:r w:rsidR="006A7D9F">
              <w:rPr>
                <w:rFonts w:ascii="Arial" w:eastAsia="Times" w:hAnsi="Arial"/>
              </w:rPr>
              <w:t xml:space="preserve"> changeourgame@sport.vic.gov.au</w:t>
            </w:r>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98524F" w:rsidRDefault="00AC0C3B" w:rsidP="0098524F">
      <w:pPr>
        <w:pStyle w:val="DHHSTOCheadingreport"/>
      </w:pPr>
      <w:r w:rsidRPr="0098524F">
        <w:t>Contents</w:t>
      </w:r>
    </w:p>
    <w:p w:rsidR="004A641D"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68600" w:history="1">
        <w:r w:rsidR="004A641D" w:rsidRPr="002C6E27">
          <w:rPr>
            <w:rStyle w:val="Hyperlink"/>
          </w:rPr>
          <w:t>Change Our Game Research Grants Program</w:t>
        </w:r>
        <w:r w:rsidR="004A641D">
          <w:rPr>
            <w:webHidden/>
          </w:rPr>
          <w:tab/>
        </w:r>
        <w:r w:rsidR="004A641D">
          <w:rPr>
            <w:webHidden/>
          </w:rPr>
          <w:fldChar w:fldCharType="begin"/>
        </w:r>
        <w:r w:rsidR="004A641D">
          <w:rPr>
            <w:webHidden/>
          </w:rPr>
          <w:instrText xml:space="preserve"> PAGEREF _Toc168600 \h </w:instrText>
        </w:r>
        <w:r w:rsidR="004A641D">
          <w:rPr>
            <w:webHidden/>
          </w:rPr>
        </w:r>
        <w:r w:rsidR="004A641D">
          <w:rPr>
            <w:webHidden/>
          </w:rPr>
          <w:fldChar w:fldCharType="separate"/>
        </w:r>
        <w:r w:rsidR="004A641D">
          <w:rPr>
            <w:webHidden/>
          </w:rPr>
          <w:t>4</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01" w:history="1">
        <w:r w:rsidR="004A641D" w:rsidRPr="002C6E27">
          <w:rPr>
            <w:rStyle w:val="Hyperlink"/>
          </w:rPr>
          <w:t>1. Program description and objectives</w:t>
        </w:r>
        <w:r w:rsidR="004A641D">
          <w:rPr>
            <w:webHidden/>
          </w:rPr>
          <w:tab/>
        </w:r>
        <w:r w:rsidR="004A641D">
          <w:rPr>
            <w:webHidden/>
          </w:rPr>
          <w:fldChar w:fldCharType="begin"/>
        </w:r>
        <w:r w:rsidR="004A641D">
          <w:rPr>
            <w:webHidden/>
          </w:rPr>
          <w:instrText xml:space="preserve"> PAGEREF _Toc168601 \h </w:instrText>
        </w:r>
        <w:r w:rsidR="004A641D">
          <w:rPr>
            <w:webHidden/>
          </w:rPr>
        </w:r>
        <w:r w:rsidR="004A641D">
          <w:rPr>
            <w:webHidden/>
          </w:rPr>
          <w:fldChar w:fldCharType="separate"/>
        </w:r>
        <w:r w:rsidR="004A641D">
          <w:rPr>
            <w:webHidden/>
          </w:rPr>
          <w:t>5</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02" w:history="1">
        <w:r w:rsidR="004A641D" w:rsidRPr="002C6E27">
          <w:rPr>
            <w:rStyle w:val="Hyperlink"/>
          </w:rPr>
          <w:t>1.1. What is the Change Our Game Research Grant Program?</w:t>
        </w:r>
        <w:r w:rsidR="004A641D">
          <w:rPr>
            <w:webHidden/>
          </w:rPr>
          <w:tab/>
        </w:r>
        <w:r w:rsidR="004A641D">
          <w:rPr>
            <w:webHidden/>
          </w:rPr>
          <w:fldChar w:fldCharType="begin"/>
        </w:r>
        <w:r w:rsidR="004A641D">
          <w:rPr>
            <w:webHidden/>
          </w:rPr>
          <w:instrText xml:space="preserve"> PAGEREF _Toc168602 \h </w:instrText>
        </w:r>
        <w:r w:rsidR="004A641D">
          <w:rPr>
            <w:webHidden/>
          </w:rPr>
        </w:r>
        <w:r w:rsidR="004A641D">
          <w:rPr>
            <w:webHidden/>
          </w:rPr>
          <w:fldChar w:fldCharType="separate"/>
        </w:r>
        <w:r w:rsidR="004A641D">
          <w:rPr>
            <w:webHidden/>
          </w:rPr>
          <w:t>5</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03" w:history="1">
        <w:r w:rsidR="004A641D" w:rsidRPr="002C6E27">
          <w:rPr>
            <w:rStyle w:val="Hyperlink"/>
          </w:rPr>
          <w:t>1.2. Why is the Victorian Government funding these grants?</w:t>
        </w:r>
        <w:r w:rsidR="004A641D">
          <w:rPr>
            <w:webHidden/>
          </w:rPr>
          <w:tab/>
        </w:r>
        <w:r w:rsidR="004A641D">
          <w:rPr>
            <w:webHidden/>
          </w:rPr>
          <w:fldChar w:fldCharType="begin"/>
        </w:r>
        <w:r w:rsidR="004A641D">
          <w:rPr>
            <w:webHidden/>
          </w:rPr>
          <w:instrText xml:space="preserve"> PAGEREF _Toc168603 \h </w:instrText>
        </w:r>
        <w:r w:rsidR="004A641D">
          <w:rPr>
            <w:webHidden/>
          </w:rPr>
        </w:r>
        <w:r w:rsidR="004A641D">
          <w:rPr>
            <w:webHidden/>
          </w:rPr>
          <w:fldChar w:fldCharType="separate"/>
        </w:r>
        <w:r w:rsidR="004A641D">
          <w:rPr>
            <w:webHidden/>
          </w:rPr>
          <w:t>5</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04" w:history="1">
        <w:r w:rsidR="004A641D" w:rsidRPr="002C6E27">
          <w:rPr>
            <w:rStyle w:val="Hyperlink"/>
          </w:rPr>
          <w:t>2. Who can apply?</w:t>
        </w:r>
        <w:r w:rsidR="004A641D">
          <w:rPr>
            <w:webHidden/>
          </w:rPr>
          <w:tab/>
        </w:r>
        <w:r w:rsidR="004A641D">
          <w:rPr>
            <w:webHidden/>
          </w:rPr>
          <w:fldChar w:fldCharType="begin"/>
        </w:r>
        <w:r w:rsidR="004A641D">
          <w:rPr>
            <w:webHidden/>
          </w:rPr>
          <w:instrText xml:space="preserve"> PAGEREF _Toc168604 \h </w:instrText>
        </w:r>
        <w:r w:rsidR="004A641D">
          <w:rPr>
            <w:webHidden/>
          </w:rPr>
        </w:r>
        <w:r w:rsidR="004A641D">
          <w:rPr>
            <w:webHidden/>
          </w:rPr>
          <w:fldChar w:fldCharType="separate"/>
        </w:r>
        <w:r w:rsidR="004A641D">
          <w:rPr>
            <w:webHidden/>
          </w:rPr>
          <w:t>5</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05" w:history="1">
        <w:r w:rsidR="004A641D" w:rsidRPr="002C6E27">
          <w:rPr>
            <w:rStyle w:val="Hyperlink"/>
          </w:rPr>
          <w:t>3. What types of research programs might be funded?</w:t>
        </w:r>
        <w:r w:rsidR="004A641D">
          <w:rPr>
            <w:webHidden/>
          </w:rPr>
          <w:tab/>
        </w:r>
        <w:r w:rsidR="004A641D">
          <w:rPr>
            <w:webHidden/>
          </w:rPr>
          <w:fldChar w:fldCharType="begin"/>
        </w:r>
        <w:r w:rsidR="004A641D">
          <w:rPr>
            <w:webHidden/>
          </w:rPr>
          <w:instrText xml:space="preserve"> PAGEREF _Toc168605 \h </w:instrText>
        </w:r>
        <w:r w:rsidR="004A641D">
          <w:rPr>
            <w:webHidden/>
          </w:rPr>
        </w:r>
        <w:r w:rsidR="004A641D">
          <w:rPr>
            <w:webHidden/>
          </w:rPr>
          <w:fldChar w:fldCharType="separate"/>
        </w:r>
        <w:r w:rsidR="004A641D">
          <w:rPr>
            <w:webHidden/>
          </w:rPr>
          <w:t>5</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06" w:history="1">
        <w:r w:rsidR="004A641D" w:rsidRPr="002C6E27">
          <w:rPr>
            <w:rStyle w:val="Hyperlink"/>
          </w:rPr>
          <w:t>3.1. What will not be funded?</w:t>
        </w:r>
        <w:r w:rsidR="004A641D">
          <w:rPr>
            <w:webHidden/>
          </w:rPr>
          <w:tab/>
        </w:r>
        <w:r w:rsidR="004A641D">
          <w:rPr>
            <w:webHidden/>
          </w:rPr>
          <w:fldChar w:fldCharType="begin"/>
        </w:r>
        <w:r w:rsidR="004A641D">
          <w:rPr>
            <w:webHidden/>
          </w:rPr>
          <w:instrText xml:space="preserve"> PAGEREF _Toc168606 \h </w:instrText>
        </w:r>
        <w:r w:rsidR="004A641D">
          <w:rPr>
            <w:webHidden/>
          </w:rPr>
        </w:r>
        <w:r w:rsidR="004A641D">
          <w:rPr>
            <w:webHidden/>
          </w:rPr>
          <w:fldChar w:fldCharType="separate"/>
        </w:r>
        <w:r w:rsidR="004A641D">
          <w:rPr>
            <w:webHidden/>
          </w:rPr>
          <w:t>6</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07" w:history="1">
        <w:r w:rsidR="004A641D" w:rsidRPr="002C6E27">
          <w:rPr>
            <w:rStyle w:val="Hyperlink"/>
          </w:rPr>
          <w:t>4.  What are the funding details?</w:t>
        </w:r>
        <w:r w:rsidR="004A641D">
          <w:rPr>
            <w:webHidden/>
          </w:rPr>
          <w:tab/>
        </w:r>
        <w:r w:rsidR="004A641D">
          <w:rPr>
            <w:webHidden/>
          </w:rPr>
          <w:fldChar w:fldCharType="begin"/>
        </w:r>
        <w:r w:rsidR="004A641D">
          <w:rPr>
            <w:webHidden/>
          </w:rPr>
          <w:instrText xml:space="preserve"> PAGEREF _Toc168607 \h </w:instrText>
        </w:r>
        <w:r w:rsidR="004A641D">
          <w:rPr>
            <w:webHidden/>
          </w:rPr>
        </w:r>
        <w:r w:rsidR="004A641D">
          <w:rPr>
            <w:webHidden/>
          </w:rPr>
          <w:fldChar w:fldCharType="separate"/>
        </w:r>
        <w:r w:rsidR="004A641D">
          <w:rPr>
            <w:webHidden/>
          </w:rPr>
          <w:t>6</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08" w:history="1">
        <w:r w:rsidR="004A641D" w:rsidRPr="002C6E27">
          <w:rPr>
            <w:rStyle w:val="Hyperlink"/>
          </w:rPr>
          <w:t>5. What is the application process?</w:t>
        </w:r>
        <w:r w:rsidR="004A641D">
          <w:rPr>
            <w:webHidden/>
          </w:rPr>
          <w:tab/>
        </w:r>
        <w:r w:rsidR="004A641D">
          <w:rPr>
            <w:webHidden/>
          </w:rPr>
          <w:fldChar w:fldCharType="begin"/>
        </w:r>
        <w:r w:rsidR="004A641D">
          <w:rPr>
            <w:webHidden/>
          </w:rPr>
          <w:instrText xml:space="preserve"> PAGEREF _Toc168608 \h </w:instrText>
        </w:r>
        <w:r w:rsidR="004A641D">
          <w:rPr>
            <w:webHidden/>
          </w:rPr>
        </w:r>
        <w:r w:rsidR="004A641D">
          <w:rPr>
            <w:webHidden/>
          </w:rPr>
          <w:fldChar w:fldCharType="separate"/>
        </w:r>
        <w:r w:rsidR="004A641D">
          <w:rPr>
            <w:webHidden/>
          </w:rPr>
          <w:t>6</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09" w:history="1">
        <w:r w:rsidR="004A641D" w:rsidRPr="002C6E27">
          <w:rPr>
            <w:rStyle w:val="Hyperlink"/>
          </w:rPr>
          <w:t>6. Timelines</w:t>
        </w:r>
        <w:r w:rsidR="004A641D">
          <w:rPr>
            <w:webHidden/>
          </w:rPr>
          <w:tab/>
        </w:r>
        <w:r w:rsidR="004A641D">
          <w:rPr>
            <w:webHidden/>
          </w:rPr>
          <w:fldChar w:fldCharType="begin"/>
        </w:r>
        <w:r w:rsidR="004A641D">
          <w:rPr>
            <w:webHidden/>
          </w:rPr>
          <w:instrText xml:space="preserve"> PAGEREF _Toc168609 \h </w:instrText>
        </w:r>
        <w:r w:rsidR="004A641D">
          <w:rPr>
            <w:webHidden/>
          </w:rPr>
        </w:r>
        <w:r w:rsidR="004A641D">
          <w:rPr>
            <w:webHidden/>
          </w:rPr>
          <w:fldChar w:fldCharType="separate"/>
        </w:r>
        <w:r w:rsidR="004A641D">
          <w:rPr>
            <w:webHidden/>
          </w:rPr>
          <w:t>6</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10" w:history="1">
        <w:r w:rsidR="004A641D" w:rsidRPr="002C6E27">
          <w:rPr>
            <w:rStyle w:val="Hyperlink"/>
          </w:rPr>
          <w:t>6.1 Assessment Criteria</w:t>
        </w:r>
        <w:r w:rsidR="004A641D">
          <w:rPr>
            <w:webHidden/>
          </w:rPr>
          <w:tab/>
        </w:r>
        <w:r w:rsidR="004A641D">
          <w:rPr>
            <w:webHidden/>
          </w:rPr>
          <w:fldChar w:fldCharType="begin"/>
        </w:r>
        <w:r w:rsidR="004A641D">
          <w:rPr>
            <w:webHidden/>
          </w:rPr>
          <w:instrText xml:space="preserve"> PAGEREF _Toc168610 \h </w:instrText>
        </w:r>
        <w:r w:rsidR="004A641D">
          <w:rPr>
            <w:webHidden/>
          </w:rPr>
        </w:r>
        <w:r w:rsidR="004A641D">
          <w:rPr>
            <w:webHidden/>
          </w:rPr>
          <w:fldChar w:fldCharType="separate"/>
        </w:r>
        <w:r w:rsidR="004A641D">
          <w:rPr>
            <w:webHidden/>
          </w:rPr>
          <w:t>6</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11" w:history="1">
        <w:r w:rsidR="004A641D" w:rsidRPr="002C6E27">
          <w:rPr>
            <w:rStyle w:val="Hyperlink"/>
          </w:rPr>
          <w:t>7. Conditions that apply to applications and funding</w:t>
        </w:r>
        <w:r w:rsidR="004A641D">
          <w:rPr>
            <w:webHidden/>
          </w:rPr>
          <w:tab/>
        </w:r>
        <w:r w:rsidR="004A641D">
          <w:rPr>
            <w:webHidden/>
          </w:rPr>
          <w:fldChar w:fldCharType="begin"/>
        </w:r>
        <w:r w:rsidR="004A641D">
          <w:rPr>
            <w:webHidden/>
          </w:rPr>
          <w:instrText xml:space="preserve"> PAGEREF _Toc168611 \h </w:instrText>
        </w:r>
        <w:r w:rsidR="004A641D">
          <w:rPr>
            <w:webHidden/>
          </w:rPr>
        </w:r>
        <w:r w:rsidR="004A641D">
          <w:rPr>
            <w:webHidden/>
          </w:rPr>
          <w:fldChar w:fldCharType="separate"/>
        </w:r>
        <w:r w:rsidR="004A641D">
          <w:rPr>
            <w:webHidden/>
          </w:rPr>
          <w:t>7</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12" w:history="1">
        <w:r w:rsidR="004A641D" w:rsidRPr="002C6E27">
          <w:rPr>
            <w:rStyle w:val="Hyperlink"/>
          </w:rPr>
          <w:t>7.1. Funding Agreements</w:t>
        </w:r>
        <w:r w:rsidR="004A641D">
          <w:rPr>
            <w:webHidden/>
          </w:rPr>
          <w:tab/>
        </w:r>
        <w:r w:rsidR="004A641D">
          <w:rPr>
            <w:webHidden/>
          </w:rPr>
          <w:fldChar w:fldCharType="begin"/>
        </w:r>
        <w:r w:rsidR="004A641D">
          <w:rPr>
            <w:webHidden/>
          </w:rPr>
          <w:instrText xml:space="preserve"> PAGEREF _Toc168612 \h </w:instrText>
        </w:r>
        <w:r w:rsidR="004A641D">
          <w:rPr>
            <w:webHidden/>
          </w:rPr>
        </w:r>
        <w:r w:rsidR="004A641D">
          <w:rPr>
            <w:webHidden/>
          </w:rPr>
          <w:fldChar w:fldCharType="separate"/>
        </w:r>
        <w:r w:rsidR="004A641D">
          <w:rPr>
            <w:webHidden/>
          </w:rPr>
          <w:t>7</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13" w:history="1">
        <w:r w:rsidR="004A641D" w:rsidRPr="002C6E27">
          <w:rPr>
            <w:rStyle w:val="Hyperlink"/>
          </w:rPr>
          <w:t>7.2. Conditions of Funding</w:t>
        </w:r>
        <w:r w:rsidR="004A641D">
          <w:rPr>
            <w:webHidden/>
          </w:rPr>
          <w:tab/>
        </w:r>
        <w:r w:rsidR="004A641D">
          <w:rPr>
            <w:webHidden/>
          </w:rPr>
          <w:fldChar w:fldCharType="begin"/>
        </w:r>
        <w:r w:rsidR="004A641D">
          <w:rPr>
            <w:webHidden/>
          </w:rPr>
          <w:instrText xml:space="preserve"> PAGEREF _Toc168613 \h </w:instrText>
        </w:r>
        <w:r w:rsidR="004A641D">
          <w:rPr>
            <w:webHidden/>
          </w:rPr>
        </w:r>
        <w:r w:rsidR="004A641D">
          <w:rPr>
            <w:webHidden/>
          </w:rPr>
          <w:fldChar w:fldCharType="separate"/>
        </w:r>
        <w:r w:rsidR="004A641D">
          <w:rPr>
            <w:webHidden/>
          </w:rPr>
          <w:t>7</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14" w:history="1">
        <w:r w:rsidR="004A641D" w:rsidRPr="002C6E27">
          <w:rPr>
            <w:rStyle w:val="Hyperlink"/>
          </w:rPr>
          <w:t>7.3. Acknowledging the Victorian Government’s support and promoting success</w:t>
        </w:r>
        <w:r w:rsidR="004A641D">
          <w:rPr>
            <w:webHidden/>
          </w:rPr>
          <w:tab/>
        </w:r>
        <w:r w:rsidR="004A641D">
          <w:rPr>
            <w:webHidden/>
          </w:rPr>
          <w:fldChar w:fldCharType="begin"/>
        </w:r>
        <w:r w:rsidR="004A641D">
          <w:rPr>
            <w:webHidden/>
          </w:rPr>
          <w:instrText xml:space="preserve"> PAGEREF _Toc168614 \h </w:instrText>
        </w:r>
        <w:r w:rsidR="004A641D">
          <w:rPr>
            <w:webHidden/>
          </w:rPr>
        </w:r>
        <w:r w:rsidR="004A641D">
          <w:rPr>
            <w:webHidden/>
          </w:rPr>
          <w:fldChar w:fldCharType="separate"/>
        </w:r>
        <w:r w:rsidR="004A641D">
          <w:rPr>
            <w:webHidden/>
          </w:rPr>
          <w:t>8</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15" w:history="1">
        <w:r w:rsidR="004A641D" w:rsidRPr="002C6E27">
          <w:rPr>
            <w:rStyle w:val="Hyperlink"/>
          </w:rPr>
          <w:t>7.4. Payments</w:t>
        </w:r>
        <w:r w:rsidR="004A641D">
          <w:rPr>
            <w:webHidden/>
          </w:rPr>
          <w:tab/>
        </w:r>
        <w:r w:rsidR="004A641D">
          <w:rPr>
            <w:webHidden/>
          </w:rPr>
          <w:fldChar w:fldCharType="begin"/>
        </w:r>
        <w:r w:rsidR="004A641D">
          <w:rPr>
            <w:webHidden/>
          </w:rPr>
          <w:instrText xml:space="preserve"> PAGEREF _Toc168615 \h </w:instrText>
        </w:r>
        <w:r w:rsidR="004A641D">
          <w:rPr>
            <w:webHidden/>
          </w:rPr>
        </w:r>
        <w:r w:rsidR="004A641D">
          <w:rPr>
            <w:webHidden/>
          </w:rPr>
          <w:fldChar w:fldCharType="separate"/>
        </w:r>
        <w:r w:rsidR="004A641D">
          <w:rPr>
            <w:webHidden/>
          </w:rPr>
          <w:t>8</w:t>
        </w:r>
        <w:r w:rsidR="004A641D">
          <w:rPr>
            <w:webHidden/>
          </w:rPr>
          <w:fldChar w:fldCharType="end"/>
        </w:r>
      </w:hyperlink>
    </w:p>
    <w:p w:rsidR="004A641D" w:rsidRDefault="008B4F8B">
      <w:pPr>
        <w:pStyle w:val="TOC2"/>
        <w:rPr>
          <w:rFonts w:asciiTheme="minorHAnsi" w:eastAsiaTheme="minorEastAsia" w:hAnsiTheme="minorHAnsi" w:cstheme="minorBidi"/>
          <w:sz w:val="22"/>
          <w:szCs w:val="22"/>
          <w:lang w:eastAsia="en-AU"/>
        </w:rPr>
      </w:pPr>
      <w:hyperlink w:anchor="_Toc168616" w:history="1">
        <w:r w:rsidR="004A641D" w:rsidRPr="002C6E27">
          <w:rPr>
            <w:rStyle w:val="Hyperlink"/>
          </w:rPr>
          <w:t>7.5. Privacy</w:t>
        </w:r>
        <w:r w:rsidR="004A641D">
          <w:rPr>
            <w:webHidden/>
          </w:rPr>
          <w:tab/>
        </w:r>
        <w:r w:rsidR="004A641D">
          <w:rPr>
            <w:webHidden/>
          </w:rPr>
          <w:fldChar w:fldCharType="begin"/>
        </w:r>
        <w:r w:rsidR="004A641D">
          <w:rPr>
            <w:webHidden/>
          </w:rPr>
          <w:instrText xml:space="preserve"> PAGEREF _Toc168616 \h </w:instrText>
        </w:r>
        <w:r w:rsidR="004A641D">
          <w:rPr>
            <w:webHidden/>
          </w:rPr>
        </w:r>
        <w:r w:rsidR="004A641D">
          <w:rPr>
            <w:webHidden/>
          </w:rPr>
          <w:fldChar w:fldCharType="separate"/>
        </w:r>
        <w:r w:rsidR="004A641D">
          <w:rPr>
            <w:webHidden/>
          </w:rPr>
          <w:t>8</w:t>
        </w:r>
        <w:r w:rsidR="004A641D">
          <w:rPr>
            <w:webHidden/>
          </w:rPr>
          <w:fldChar w:fldCharType="end"/>
        </w:r>
      </w:hyperlink>
    </w:p>
    <w:p w:rsidR="004A641D" w:rsidRDefault="008B4F8B">
      <w:pPr>
        <w:pStyle w:val="TOC1"/>
        <w:rPr>
          <w:rFonts w:asciiTheme="minorHAnsi" w:eastAsiaTheme="minorEastAsia" w:hAnsiTheme="minorHAnsi" w:cstheme="minorBidi"/>
          <w:b w:val="0"/>
          <w:sz w:val="22"/>
          <w:szCs w:val="22"/>
          <w:lang w:eastAsia="en-AU"/>
        </w:rPr>
      </w:pPr>
      <w:hyperlink w:anchor="_Toc168617" w:history="1">
        <w:r w:rsidR="004A641D" w:rsidRPr="002C6E27">
          <w:rPr>
            <w:rStyle w:val="Hyperlink"/>
          </w:rPr>
          <w:t>8. Resources and additional information</w:t>
        </w:r>
        <w:r w:rsidR="004A641D">
          <w:rPr>
            <w:webHidden/>
          </w:rPr>
          <w:tab/>
        </w:r>
        <w:r w:rsidR="004A641D">
          <w:rPr>
            <w:webHidden/>
          </w:rPr>
          <w:fldChar w:fldCharType="begin"/>
        </w:r>
        <w:r w:rsidR="004A641D">
          <w:rPr>
            <w:webHidden/>
          </w:rPr>
          <w:instrText xml:space="preserve"> PAGEREF _Toc168617 \h </w:instrText>
        </w:r>
        <w:r w:rsidR="004A641D">
          <w:rPr>
            <w:webHidden/>
          </w:rPr>
        </w:r>
        <w:r w:rsidR="004A641D">
          <w:rPr>
            <w:webHidden/>
          </w:rPr>
          <w:fldChar w:fldCharType="separate"/>
        </w:r>
        <w:r w:rsidR="004A641D">
          <w:rPr>
            <w:webHidden/>
          </w:rPr>
          <w:t>9</w:t>
        </w:r>
        <w:r w:rsidR="004A641D">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headerReference w:type="even" r:id="rId9"/>
          <w:headerReference w:type="default" r:id="rId10"/>
          <w:footerReference w:type="even" r:id="rId11"/>
          <w:footerReference w:type="default" r:id="rId12"/>
          <w:headerReference w:type="first" r:id="rId13"/>
          <w:footerReference w:type="first" r:id="rId14"/>
          <w:pgSz w:w="11906" w:h="16838"/>
          <w:pgMar w:top="1701" w:right="1304" w:bottom="1134" w:left="1304" w:header="454" w:footer="567" w:gutter="0"/>
          <w:cols w:space="720"/>
          <w:docGrid w:linePitch="360"/>
        </w:sectPr>
      </w:pPr>
    </w:p>
    <w:p w:rsidR="00A23BF8" w:rsidRPr="0076168F" w:rsidRDefault="00A23BF8" w:rsidP="0006226C">
      <w:pPr>
        <w:pStyle w:val="Heading1"/>
      </w:pPr>
      <w:bookmarkStart w:id="0" w:name="_Toc168600"/>
      <w:bookmarkStart w:id="1" w:name="_Toc510787248"/>
      <w:bookmarkStart w:id="2" w:name="_Toc510787334"/>
      <w:bookmarkStart w:id="3" w:name="_Toc508709295"/>
      <w:bookmarkStart w:id="4" w:name="_Toc509417028"/>
      <w:bookmarkStart w:id="5" w:name="_Toc518376405"/>
      <w:r w:rsidRPr="0076168F">
        <w:lastRenderedPageBreak/>
        <w:t>Change Our Game Research Grants Program</w:t>
      </w:r>
      <w:bookmarkEnd w:id="0"/>
    </w:p>
    <w:p w:rsidR="0006226C" w:rsidRPr="0076168F" w:rsidRDefault="0006226C" w:rsidP="00A23BF8">
      <w:pPr>
        <w:pStyle w:val="Heading3"/>
      </w:pPr>
      <w:r w:rsidRPr="0076168F">
        <w:t xml:space="preserve">Message from the Minister for </w:t>
      </w:r>
      <w:r w:rsidR="00A23BF8" w:rsidRPr="0076168F">
        <w:t>Tourism</w:t>
      </w:r>
      <w:r w:rsidRPr="0076168F">
        <w:t>,</w:t>
      </w:r>
      <w:r w:rsidR="00A23BF8" w:rsidRPr="0076168F">
        <w:t xml:space="preserve"> Sport and </w:t>
      </w:r>
      <w:r w:rsidR="00915926" w:rsidRPr="0076168F">
        <w:t>M</w:t>
      </w:r>
      <w:r w:rsidR="00A23BF8" w:rsidRPr="0076168F">
        <w:t>ajor Events</w:t>
      </w:r>
      <w:r w:rsidRPr="0076168F">
        <w:t xml:space="preserve"> </w:t>
      </w:r>
      <w:bookmarkEnd w:id="1"/>
      <w:bookmarkEnd w:id="2"/>
    </w:p>
    <w:p w:rsidR="0006226C" w:rsidRPr="003C6BDE" w:rsidRDefault="0006226C" w:rsidP="0006226C">
      <w:pPr>
        <w:autoSpaceDE w:val="0"/>
        <w:autoSpaceDN w:val="0"/>
        <w:adjustRightInd w:val="0"/>
        <w:jc w:val="both"/>
        <w:rPr>
          <w:rFonts w:ascii="Arial" w:eastAsia="Calibri" w:hAnsi="Arial" w:cs="Arial"/>
          <w:i/>
          <w:color w:val="000000"/>
        </w:rPr>
      </w:pPr>
    </w:p>
    <w:p w:rsidR="00A522EF" w:rsidRPr="008E672A" w:rsidRDefault="008E672A" w:rsidP="00A522EF">
      <w:pPr>
        <w:autoSpaceDE w:val="0"/>
        <w:autoSpaceDN w:val="0"/>
        <w:adjustRightInd w:val="0"/>
        <w:spacing w:before="240"/>
        <w:jc w:val="both"/>
        <w:rPr>
          <w:rFonts w:ascii="Arial" w:hAnsi="Arial" w:cs="Arial"/>
          <w:iCs/>
          <w:sz w:val="22"/>
          <w:szCs w:val="22"/>
        </w:rPr>
      </w:pPr>
      <w:r w:rsidRPr="008E672A">
        <w:rPr>
          <w:rFonts w:ascii="Arial" w:hAnsi="Arial" w:cs="Arial"/>
          <w:iCs/>
          <w:sz w:val="22"/>
          <w:szCs w:val="22"/>
        </w:rPr>
        <w:t xml:space="preserve">There are </w:t>
      </w:r>
      <w:proofErr w:type="gramStart"/>
      <w:r w:rsidRPr="008E672A">
        <w:rPr>
          <w:rFonts w:ascii="Arial" w:hAnsi="Arial" w:cs="Arial"/>
          <w:iCs/>
          <w:sz w:val="22"/>
          <w:szCs w:val="22"/>
        </w:rPr>
        <w:t>a number of</w:t>
      </w:r>
      <w:proofErr w:type="gramEnd"/>
      <w:r w:rsidRPr="008E672A">
        <w:rPr>
          <w:rFonts w:ascii="Arial" w:hAnsi="Arial" w:cs="Arial"/>
          <w:iCs/>
          <w:sz w:val="22"/>
          <w:szCs w:val="22"/>
        </w:rPr>
        <w:t xml:space="preserve"> removable barriers currently in place </w:t>
      </w:r>
      <w:r w:rsidR="00186CCA">
        <w:rPr>
          <w:rFonts w:ascii="Arial" w:hAnsi="Arial" w:cs="Arial"/>
          <w:iCs/>
          <w:sz w:val="22"/>
          <w:szCs w:val="22"/>
        </w:rPr>
        <w:t>that are preventing</w:t>
      </w:r>
      <w:r w:rsidRPr="008E672A">
        <w:rPr>
          <w:rFonts w:ascii="Arial" w:hAnsi="Arial" w:cs="Arial"/>
          <w:iCs/>
          <w:sz w:val="22"/>
          <w:szCs w:val="22"/>
        </w:rPr>
        <w:t xml:space="preserve"> women and girls </w:t>
      </w:r>
      <w:r w:rsidR="00186CCA">
        <w:rPr>
          <w:rFonts w:ascii="Arial" w:hAnsi="Arial" w:cs="Arial"/>
          <w:iCs/>
          <w:sz w:val="22"/>
          <w:szCs w:val="22"/>
        </w:rPr>
        <w:t>from</w:t>
      </w:r>
      <w:r w:rsidRPr="008E672A">
        <w:rPr>
          <w:rFonts w:ascii="Arial" w:hAnsi="Arial" w:cs="Arial"/>
          <w:iCs/>
          <w:sz w:val="22"/>
          <w:szCs w:val="22"/>
        </w:rPr>
        <w:t xml:space="preserve"> participat</w:t>
      </w:r>
      <w:r w:rsidR="00186CCA">
        <w:rPr>
          <w:rFonts w:ascii="Arial" w:hAnsi="Arial" w:cs="Arial"/>
          <w:iCs/>
          <w:sz w:val="22"/>
          <w:szCs w:val="22"/>
        </w:rPr>
        <w:t>ing,</w:t>
      </w:r>
      <w:r w:rsidRPr="008E672A">
        <w:rPr>
          <w:rFonts w:ascii="Arial" w:hAnsi="Arial" w:cs="Arial"/>
          <w:iCs/>
          <w:sz w:val="22"/>
          <w:szCs w:val="22"/>
        </w:rPr>
        <w:t xml:space="preserve"> lead</w:t>
      </w:r>
      <w:r w:rsidR="00186CCA">
        <w:rPr>
          <w:rFonts w:ascii="Arial" w:hAnsi="Arial" w:cs="Arial"/>
          <w:iCs/>
          <w:sz w:val="22"/>
          <w:szCs w:val="22"/>
        </w:rPr>
        <w:t>ing</w:t>
      </w:r>
      <w:r w:rsidRPr="008E672A">
        <w:rPr>
          <w:rFonts w:ascii="Arial" w:hAnsi="Arial" w:cs="Arial"/>
          <w:iCs/>
          <w:sz w:val="22"/>
          <w:szCs w:val="22"/>
        </w:rPr>
        <w:t xml:space="preserve"> and succeed</w:t>
      </w:r>
      <w:r w:rsidR="00186CCA">
        <w:rPr>
          <w:rFonts w:ascii="Arial" w:hAnsi="Arial" w:cs="Arial"/>
          <w:iCs/>
          <w:sz w:val="22"/>
          <w:szCs w:val="22"/>
        </w:rPr>
        <w:t>ing</w:t>
      </w:r>
      <w:r w:rsidRPr="008E672A">
        <w:rPr>
          <w:rFonts w:ascii="Arial" w:hAnsi="Arial" w:cs="Arial"/>
          <w:iCs/>
          <w:sz w:val="22"/>
          <w:szCs w:val="22"/>
        </w:rPr>
        <w:t xml:space="preserve"> across all levels of sport and active recreation.</w:t>
      </w:r>
    </w:p>
    <w:p w:rsidR="00A522EF" w:rsidRPr="008E672A" w:rsidRDefault="00A522EF" w:rsidP="00A522EF">
      <w:pPr>
        <w:autoSpaceDE w:val="0"/>
        <w:autoSpaceDN w:val="0"/>
        <w:adjustRightInd w:val="0"/>
        <w:jc w:val="both"/>
        <w:rPr>
          <w:rFonts w:ascii="Arial" w:hAnsi="Arial" w:cs="Arial"/>
          <w:iCs/>
          <w:sz w:val="22"/>
          <w:szCs w:val="22"/>
        </w:rPr>
      </w:pPr>
    </w:p>
    <w:p w:rsidR="00A522EF" w:rsidRPr="008E672A" w:rsidRDefault="00A522EF" w:rsidP="00A522EF">
      <w:pPr>
        <w:autoSpaceDE w:val="0"/>
        <w:autoSpaceDN w:val="0"/>
        <w:adjustRightInd w:val="0"/>
        <w:jc w:val="both"/>
        <w:rPr>
          <w:rFonts w:ascii="Arial" w:hAnsi="Arial" w:cs="Arial"/>
          <w:iCs/>
          <w:sz w:val="22"/>
          <w:szCs w:val="22"/>
        </w:rPr>
      </w:pPr>
      <w:r w:rsidRPr="008E672A">
        <w:rPr>
          <w:rFonts w:ascii="Arial" w:hAnsi="Arial" w:cs="Arial"/>
          <w:iCs/>
          <w:sz w:val="22"/>
          <w:szCs w:val="22"/>
        </w:rPr>
        <w:t>The Change Our Game Research Grants Program</w:t>
      </w:r>
      <w:r w:rsidRPr="008E672A">
        <w:rPr>
          <w:rFonts w:ascii="Arial" w:hAnsi="Arial" w:cs="Arial"/>
          <w:i/>
          <w:iCs/>
          <w:sz w:val="22"/>
          <w:szCs w:val="22"/>
        </w:rPr>
        <w:t xml:space="preserve"> </w:t>
      </w:r>
      <w:r w:rsidRPr="008E672A">
        <w:rPr>
          <w:rFonts w:ascii="Arial" w:hAnsi="Arial" w:cs="Arial"/>
          <w:iCs/>
          <w:sz w:val="22"/>
          <w:szCs w:val="22"/>
        </w:rPr>
        <w:t xml:space="preserve">provides </w:t>
      </w:r>
      <w:r w:rsidR="008E672A" w:rsidRPr="008E672A">
        <w:rPr>
          <w:rFonts w:ascii="Arial" w:hAnsi="Arial" w:cs="Arial"/>
          <w:iCs/>
          <w:sz w:val="22"/>
          <w:szCs w:val="22"/>
        </w:rPr>
        <w:t>Victorian</w:t>
      </w:r>
      <w:r w:rsidRPr="008E672A">
        <w:rPr>
          <w:rFonts w:ascii="Arial" w:hAnsi="Arial" w:cs="Arial"/>
          <w:iCs/>
          <w:sz w:val="22"/>
          <w:szCs w:val="22"/>
        </w:rPr>
        <w:t xml:space="preserve"> </w:t>
      </w:r>
      <w:r w:rsidR="008E672A" w:rsidRPr="008E672A">
        <w:rPr>
          <w:rFonts w:ascii="Arial" w:hAnsi="Arial" w:cs="Arial"/>
          <w:iCs/>
          <w:sz w:val="22"/>
          <w:szCs w:val="22"/>
        </w:rPr>
        <w:t>researchers</w:t>
      </w:r>
      <w:r w:rsidRPr="008E672A">
        <w:rPr>
          <w:rFonts w:ascii="Arial" w:hAnsi="Arial" w:cs="Arial"/>
          <w:iCs/>
          <w:sz w:val="22"/>
          <w:szCs w:val="22"/>
        </w:rPr>
        <w:t xml:space="preserve"> the chance to</w:t>
      </w:r>
      <w:r w:rsidR="008E672A" w:rsidRPr="008E672A">
        <w:rPr>
          <w:rFonts w:ascii="Arial" w:hAnsi="Arial" w:cs="Arial"/>
          <w:iCs/>
          <w:sz w:val="22"/>
          <w:szCs w:val="22"/>
        </w:rPr>
        <w:t xml:space="preserve"> </w:t>
      </w:r>
      <w:r w:rsidR="00162523">
        <w:rPr>
          <w:rFonts w:ascii="Arial" w:hAnsi="Arial" w:cs="Arial"/>
          <w:iCs/>
          <w:sz w:val="22"/>
          <w:szCs w:val="22"/>
        </w:rPr>
        <w:t>investigate</w:t>
      </w:r>
      <w:bookmarkStart w:id="6" w:name="_GoBack"/>
      <w:bookmarkEnd w:id="6"/>
      <w:r w:rsidR="00162523" w:rsidRPr="008E672A">
        <w:rPr>
          <w:rFonts w:ascii="Arial" w:hAnsi="Arial" w:cs="Arial"/>
          <w:iCs/>
          <w:sz w:val="22"/>
          <w:szCs w:val="22"/>
        </w:rPr>
        <w:t xml:space="preserve"> </w:t>
      </w:r>
      <w:r w:rsidR="008E672A" w:rsidRPr="008E672A">
        <w:rPr>
          <w:rFonts w:ascii="Arial" w:hAnsi="Arial" w:cs="Arial"/>
          <w:iCs/>
          <w:sz w:val="22"/>
          <w:szCs w:val="22"/>
        </w:rPr>
        <w:t>these barriers, identify solutions and</w:t>
      </w:r>
      <w:r w:rsidRPr="008E672A">
        <w:rPr>
          <w:rFonts w:ascii="Arial" w:hAnsi="Arial" w:cs="Arial"/>
          <w:iCs/>
          <w:sz w:val="22"/>
          <w:szCs w:val="22"/>
        </w:rPr>
        <w:t xml:space="preserve"> play a </w:t>
      </w:r>
      <w:r w:rsidR="00162523">
        <w:rPr>
          <w:rFonts w:ascii="Arial" w:hAnsi="Arial" w:cs="Arial"/>
          <w:iCs/>
          <w:sz w:val="22"/>
          <w:szCs w:val="22"/>
        </w:rPr>
        <w:t>leading role</w:t>
      </w:r>
      <w:r w:rsidRPr="008E672A">
        <w:rPr>
          <w:rFonts w:ascii="Arial" w:hAnsi="Arial" w:cs="Arial"/>
          <w:iCs/>
          <w:sz w:val="22"/>
          <w:szCs w:val="22"/>
        </w:rPr>
        <w:t xml:space="preserve"> in shaping and supporting local communities.</w:t>
      </w:r>
    </w:p>
    <w:p w:rsidR="00A522EF" w:rsidRPr="008E672A" w:rsidRDefault="00A522EF" w:rsidP="00A522EF">
      <w:pPr>
        <w:autoSpaceDE w:val="0"/>
        <w:autoSpaceDN w:val="0"/>
        <w:adjustRightInd w:val="0"/>
        <w:jc w:val="both"/>
        <w:rPr>
          <w:rFonts w:ascii="Arial" w:hAnsi="Arial" w:cs="Arial"/>
          <w:iCs/>
          <w:sz w:val="22"/>
          <w:szCs w:val="22"/>
        </w:rPr>
      </w:pPr>
    </w:p>
    <w:p w:rsidR="00A522EF" w:rsidRPr="008E672A" w:rsidRDefault="008E672A" w:rsidP="00A522EF">
      <w:pPr>
        <w:autoSpaceDE w:val="0"/>
        <w:autoSpaceDN w:val="0"/>
        <w:adjustRightInd w:val="0"/>
        <w:jc w:val="both"/>
        <w:rPr>
          <w:rFonts w:ascii="Arial" w:hAnsi="Arial" w:cs="Arial"/>
          <w:iCs/>
          <w:sz w:val="22"/>
          <w:szCs w:val="22"/>
        </w:rPr>
      </w:pPr>
      <w:r w:rsidRPr="008E672A">
        <w:rPr>
          <w:rFonts w:ascii="Arial" w:hAnsi="Arial" w:cs="Arial"/>
          <w:iCs/>
          <w:sz w:val="22"/>
          <w:szCs w:val="22"/>
        </w:rPr>
        <w:t xml:space="preserve">Research </w:t>
      </w:r>
      <w:r w:rsidR="00186CCA">
        <w:rPr>
          <w:rFonts w:ascii="Arial" w:hAnsi="Arial" w:cs="Arial"/>
          <w:iCs/>
          <w:sz w:val="22"/>
          <w:szCs w:val="22"/>
        </w:rPr>
        <w:t>g</w:t>
      </w:r>
      <w:r w:rsidR="00A522EF" w:rsidRPr="008E672A">
        <w:rPr>
          <w:rFonts w:ascii="Arial" w:hAnsi="Arial" w:cs="Arial"/>
          <w:iCs/>
          <w:sz w:val="22"/>
          <w:szCs w:val="22"/>
        </w:rPr>
        <w:t xml:space="preserve">rants are available for </w:t>
      </w:r>
      <w:r w:rsidR="00B53CD5" w:rsidRPr="008E672A">
        <w:rPr>
          <w:rFonts w:ascii="Arial" w:hAnsi="Arial" w:cs="Arial"/>
          <w:iCs/>
          <w:sz w:val="22"/>
          <w:szCs w:val="22"/>
        </w:rPr>
        <w:t>Victorian</w:t>
      </w:r>
      <w:r w:rsidRPr="008E672A">
        <w:rPr>
          <w:rFonts w:ascii="Arial" w:hAnsi="Arial" w:cs="Arial"/>
          <w:iCs/>
          <w:sz w:val="22"/>
          <w:szCs w:val="22"/>
        </w:rPr>
        <w:t xml:space="preserve"> researchers to undertake projects </w:t>
      </w:r>
      <w:r w:rsidRPr="008E672A">
        <w:rPr>
          <w:rFonts w:ascii="Arial" w:hAnsi="Arial" w:cs="Arial"/>
          <w:sz w:val="22"/>
          <w:szCs w:val="22"/>
        </w:rPr>
        <w:t>aimed at improving the environment for women and girls in sport and active recreation.</w:t>
      </w:r>
      <w:r w:rsidR="00A522EF" w:rsidRPr="008E672A">
        <w:rPr>
          <w:rFonts w:ascii="Arial" w:hAnsi="Arial" w:cs="Arial"/>
          <w:iCs/>
          <w:sz w:val="22"/>
          <w:szCs w:val="22"/>
        </w:rPr>
        <w:t xml:space="preserve"> </w:t>
      </w:r>
    </w:p>
    <w:p w:rsidR="00A522EF" w:rsidRPr="008E672A" w:rsidRDefault="00A522EF" w:rsidP="00A522EF">
      <w:pPr>
        <w:autoSpaceDE w:val="0"/>
        <w:autoSpaceDN w:val="0"/>
        <w:adjustRightInd w:val="0"/>
        <w:jc w:val="both"/>
        <w:rPr>
          <w:rFonts w:ascii="Arial" w:hAnsi="Arial" w:cs="Arial"/>
          <w:iCs/>
          <w:sz w:val="22"/>
          <w:szCs w:val="22"/>
        </w:rPr>
      </w:pPr>
    </w:p>
    <w:p w:rsidR="00A522EF" w:rsidRPr="008E672A" w:rsidRDefault="00A522EF" w:rsidP="00A522EF">
      <w:pPr>
        <w:autoSpaceDE w:val="0"/>
        <w:autoSpaceDN w:val="0"/>
        <w:adjustRightInd w:val="0"/>
        <w:jc w:val="both"/>
        <w:rPr>
          <w:rFonts w:ascii="Arial" w:hAnsi="Arial" w:cs="Arial"/>
          <w:iCs/>
          <w:sz w:val="22"/>
          <w:szCs w:val="22"/>
        </w:rPr>
      </w:pPr>
      <w:r w:rsidRPr="008E672A">
        <w:rPr>
          <w:rFonts w:ascii="Arial" w:hAnsi="Arial" w:cs="Arial"/>
          <w:iCs/>
          <w:sz w:val="22"/>
          <w:szCs w:val="22"/>
        </w:rPr>
        <w:t>The program reflects the Victorian Government’s commitment to creating welcom</w:t>
      </w:r>
      <w:r w:rsidR="00186CCA">
        <w:rPr>
          <w:rFonts w:ascii="Arial" w:hAnsi="Arial" w:cs="Arial"/>
          <w:iCs/>
          <w:sz w:val="22"/>
          <w:szCs w:val="22"/>
        </w:rPr>
        <w:t>ing</w:t>
      </w:r>
      <w:r w:rsidRPr="008E672A">
        <w:rPr>
          <w:rFonts w:ascii="Arial" w:hAnsi="Arial" w:cs="Arial"/>
          <w:iCs/>
          <w:sz w:val="22"/>
          <w:szCs w:val="22"/>
        </w:rPr>
        <w:t xml:space="preserve"> and inclusive sport</w:t>
      </w:r>
      <w:r w:rsidR="00162523">
        <w:rPr>
          <w:rFonts w:ascii="Arial" w:hAnsi="Arial" w:cs="Arial"/>
          <w:iCs/>
          <w:sz w:val="22"/>
          <w:szCs w:val="22"/>
        </w:rPr>
        <w:t xml:space="preserve"> and recreation</w:t>
      </w:r>
      <w:r w:rsidRPr="008E672A">
        <w:rPr>
          <w:rFonts w:ascii="Arial" w:hAnsi="Arial" w:cs="Arial"/>
          <w:iCs/>
          <w:sz w:val="22"/>
          <w:szCs w:val="22"/>
        </w:rPr>
        <w:t xml:space="preserve"> environments, promoting health and w</w:t>
      </w:r>
      <w:r w:rsidR="008E672A" w:rsidRPr="008E672A">
        <w:rPr>
          <w:rFonts w:ascii="Arial" w:hAnsi="Arial" w:cs="Arial"/>
          <w:iCs/>
          <w:sz w:val="22"/>
          <w:szCs w:val="22"/>
        </w:rPr>
        <w:t>ellbeing as well as boosting research in Victoria</w:t>
      </w:r>
      <w:r w:rsidRPr="008E672A">
        <w:rPr>
          <w:rFonts w:ascii="Arial" w:hAnsi="Arial" w:cs="Arial"/>
          <w:iCs/>
          <w:sz w:val="22"/>
          <w:szCs w:val="22"/>
        </w:rPr>
        <w:t>.</w:t>
      </w:r>
    </w:p>
    <w:p w:rsidR="00A522EF" w:rsidRPr="008E672A" w:rsidRDefault="00A522EF" w:rsidP="00A522EF">
      <w:pPr>
        <w:autoSpaceDE w:val="0"/>
        <w:autoSpaceDN w:val="0"/>
        <w:adjustRightInd w:val="0"/>
        <w:jc w:val="both"/>
        <w:rPr>
          <w:rFonts w:ascii="Arial" w:hAnsi="Arial" w:cs="Arial"/>
          <w:iCs/>
          <w:sz w:val="22"/>
          <w:szCs w:val="22"/>
        </w:rPr>
      </w:pPr>
    </w:p>
    <w:p w:rsidR="00A522EF" w:rsidRPr="008E672A" w:rsidRDefault="00186CCA" w:rsidP="00A522EF">
      <w:pPr>
        <w:autoSpaceDE w:val="0"/>
        <w:autoSpaceDN w:val="0"/>
        <w:adjustRightInd w:val="0"/>
        <w:jc w:val="both"/>
        <w:rPr>
          <w:rFonts w:ascii="Arial" w:hAnsi="Arial" w:cs="Arial"/>
          <w:iCs/>
          <w:sz w:val="22"/>
          <w:szCs w:val="22"/>
        </w:rPr>
      </w:pPr>
      <w:r>
        <w:rPr>
          <w:rFonts w:ascii="Arial" w:hAnsi="Arial" w:cs="Arial"/>
          <w:iCs/>
          <w:sz w:val="22"/>
          <w:szCs w:val="22"/>
        </w:rPr>
        <w:t>By</w:t>
      </w:r>
      <w:r w:rsidR="00A522EF" w:rsidRPr="008E672A">
        <w:rPr>
          <w:rFonts w:ascii="Arial" w:hAnsi="Arial" w:cs="Arial"/>
          <w:iCs/>
          <w:sz w:val="22"/>
          <w:szCs w:val="22"/>
        </w:rPr>
        <w:t xml:space="preserve"> working together</w:t>
      </w:r>
      <w:r w:rsidR="008E672A" w:rsidRPr="008E672A">
        <w:rPr>
          <w:rFonts w:ascii="Arial" w:hAnsi="Arial" w:cs="Arial"/>
          <w:iCs/>
          <w:sz w:val="22"/>
          <w:szCs w:val="22"/>
        </w:rPr>
        <w:t xml:space="preserve"> in new and innovative ways</w:t>
      </w:r>
      <w:r w:rsidR="00A522EF" w:rsidRPr="008E672A">
        <w:rPr>
          <w:rFonts w:ascii="Arial" w:hAnsi="Arial" w:cs="Arial"/>
          <w:iCs/>
          <w:sz w:val="22"/>
          <w:szCs w:val="22"/>
        </w:rPr>
        <w:t xml:space="preserve"> we</w:t>
      </w:r>
      <w:r w:rsidR="008E672A" w:rsidRPr="008E672A">
        <w:rPr>
          <w:rFonts w:ascii="Arial" w:hAnsi="Arial" w:cs="Arial"/>
          <w:iCs/>
          <w:sz w:val="22"/>
          <w:szCs w:val="22"/>
        </w:rPr>
        <w:t xml:space="preserve"> can</w:t>
      </w:r>
      <w:r w:rsidR="00A522EF" w:rsidRPr="008E672A">
        <w:rPr>
          <w:rFonts w:ascii="Arial" w:hAnsi="Arial" w:cs="Arial"/>
          <w:iCs/>
          <w:sz w:val="22"/>
          <w:szCs w:val="22"/>
        </w:rPr>
        <w:t xml:space="preserve"> </w:t>
      </w:r>
      <w:r w:rsidR="008E672A" w:rsidRPr="008E672A">
        <w:rPr>
          <w:rFonts w:ascii="Arial" w:hAnsi="Arial" w:cs="Arial"/>
          <w:iCs/>
          <w:sz w:val="22"/>
          <w:szCs w:val="22"/>
        </w:rPr>
        <w:t xml:space="preserve">further gender equality </w:t>
      </w:r>
      <w:r w:rsidR="00162523">
        <w:rPr>
          <w:rFonts w:ascii="Arial" w:hAnsi="Arial" w:cs="Arial"/>
          <w:iCs/>
          <w:sz w:val="22"/>
          <w:szCs w:val="22"/>
        </w:rPr>
        <w:t>across</w:t>
      </w:r>
      <w:r w:rsidR="008E672A" w:rsidRPr="008E672A">
        <w:rPr>
          <w:rFonts w:ascii="Arial" w:hAnsi="Arial" w:cs="Arial"/>
          <w:iCs/>
          <w:sz w:val="22"/>
          <w:szCs w:val="22"/>
        </w:rPr>
        <w:t xml:space="preserve"> all levels of </w:t>
      </w:r>
      <w:r w:rsidR="00162523">
        <w:rPr>
          <w:rFonts w:ascii="Arial" w:hAnsi="Arial" w:cs="Arial"/>
          <w:iCs/>
          <w:sz w:val="22"/>
          <w:szCs w:val="22"/>
        </w:rPr>
        <w:t xml:space="preserve">the Victorian </w:t>
      </w:r>
      <w:r w:rsidR="008E672A" w:rsidRPr="008E672A">
        <w:rPr>
          <w:rFonts w:ascii="Arial" w:hAnsi="Arial" w:cs="Arial"/>
          <w:iCs/>
          <w:sz w:val="22"/>
          <w:szCs w:val="22"/>
        </w:rPr>
        <w:t>sport and recreation</w:t>
      </w:r>
      <w:r w:rsidR="00162523">
        <w:rPr>
          <w:rFonts w:ascii="Arial" w:hAnsi="Arial" w:cs="Arial"/>
          <w:iCs/>
          <w:sz w:val="22"/>
          <w:szCs w:val="22"/>
        </w:rPr>
        <w:t xml:space="preserve"> sector,</w:t>
      </w:r>
      <w:r w:rsidR="00A522EF" w:rsidRPr="008E672A">
        <w:rPr>
          <w:rFonts w:ascii="Arial" w:hAnsi="Arial" w:cs="Arial"/>
          <w:iCs/>
          <w:sz w:val="22"/>
          <w:szCs w:val="22"/>
        </w:rPr>
        <w:t xml:space="preserve"> </w:t>
      </w:r>
      <w:r w:rsidR="008E672A" w:rsidRPr="008E672A">
        <w:rPr>
          <w:rFonts w:ascii="Arial" w:hAnsi="Arial" w:cs="Arial"/>
          <w:iCs/>
          <w:sz w:val="22"/>
          <w:szCs w:val="22"/>
        </w:rPr>
        <w:t>and in doing so</w:t>
      </w:r>
      <w:r w:rsidR="00162523">
        <w:rPr>
          <w:rFonts w:ascii="Arial" w:hAnsi="Arial" w:cs="Arial"/>
          <w:iCs/>
          <w:sz w:val="22"/>
          <w:szCs w:val="22"/>
        </w:rPr>
        <w:t>,</w:t>
      </w:r>
      <w:r w:rsidR="008E672A" w:rsidRPr="008E672A">
        <w:rPr>
          <w:rFonts w:ascii="Arial" w:hAnsi="Arial" w:cs="Arial"/>
          <w:iCs/>
          <w:sz w:val="22"/>
          <w:szCs w:val="22"/>
        </w:rPr>
        <w:t xml:space="preserve"> </w:t>
      </w:r>
      <w:r w:rsidR="00A522EF" w:rsidRPr="008E672A">
        <w:rPr>
          <w:rFonts w:ascii="Arial" w:hAnsi="Arial" w:cs="Arial"/>
          <w:iCs/>
          <w:sz w:val="22"/>
          <w:szCs w:val="22"/>
        </w:rPr>
        <w:t>stimulate local economies and create new jobs and volunteer opportunities.</w:t>
      </w:r>
    </w:p>
    <w:p w:rsidR="00A522EF" w:rsidRPr="008E672A" w:rsidRDefault="00A522EF" w:rsidP="00A522EF">
      <w:pPr>
        <w:autoSpaceDE w:val="0"/>
        <w:autoSpaceDN w:val="0"/>
        <w:adjustRightInd w:val="0"/>
        <w:jc w:val="both"/>
        <w:rPr>
          <w:rFonts w:ascii="Arial" w:hAnsi="Arial" w:cs="Arial"/>
          <w:iCs/>
          <w:sz w:val="22"/>
          <w:szCs w:val="22"/>
        </w:rPr>
      </w:pPr>
    </w:p>
    <w:p w:rsidR="00A522EF" w:rsidRPr="008E672A" w:rsidRDefault="00A522EF" w:rsidP="00A522EF">
      <w:pPr>
        <w:autoSpaceDE w:val="0"/>
        <w:autoSpaceDN w:val="0"/>
        <w:adjustRightInd w:val="0"/>
        <w:jc w:val="both"/>
        <w:rPr>
          <w:rFonts w:ascii="Arial" w:hAnsi="Arial" w:cs="Arial"/>
          <w:sz w:val="22"/>
          <w:szCs w:val="22"/>
          <w:lang w:eastAsia="en-AU"/>
        </w:rPr>
      </w:pPr>
      <w:r w:rsidRPr="008E672A">
        <w:rPr>
          <w:rFonts w:ascii="Arial" w:hAnsi="Arial" w:cs="Arial"/>
          <w:iCs/>
          <w:sz w:val="22"/>
          <w:szCs w:val="22"/>
        </w:rPr>
        <w:t xml:space="preserve">I look forward to seeing </w:t>
      </w:r>
      <w:r w:rsidR="008E672A" w:rsidRPr="008E672A">
        <w:rPr>
          <w:rFonts w:ascii="Arial" w:hAnsi="Arial" w:cs="Arial"/>
          <w:iCs/>
          <w:sz w:val="22"/>
          <w:szCs w:val="22"/>
        </w:rPr>
        <w:t>Victorian researchers passionate about improving the environment for women and girls in sport and active recreation benef</w:t>
      </w:r>
      <w:r w:rsidR="00162523">
        <w:rPr>
          <w:rFonts w:ascii="Arial" w:hAnsi="Arial" w:cs="Arial"/>
          <w:iCs/>
          <w:sz w:val="22"/>
          <w:szCs w:val="22"/>
        </w:rPr>
        <w:t xml:space="preserve">it </w:t>
      </w:r>
      <w:r w:rsidR="00186CCA">
        <w:rPr>
          <w:rFonts w:ascii="Arial" w:hAnsi="Arial" w:cs="Arial"/>
          <w:iCs/>
          <w:sz w:val="22"/>
          <w:szCs w:val="22"/>
        </w:rPr>
        <w:t>from</w:t>
      </w:r>
      <w:r w:rsidR="008E672A" w:rsidRPr="008E672A">
        <w:rPr>
          <w:rFonts w:ascii="Arial" w:hAnsi="Arial" w:cs="Arial"/>
          <w:iCs/>
          <w:sz w:val="22"/>
          <w:szCs w:val="22"/>
        </w:rPr>
        <w:t xml:space="preserve"> the Change Our Game Research Grants Program</w:t>
      </w:r>
      <w:r w:rsidR="00162523">
        <w:rPr>
          <w:rFonts w:ascii="Arial" w:hAnsi="Arial" w:cs="Arial"/>
          <w:iCs/>
          <w:sz w:val="22"/>
          <w:szCs w:val="22"/>
        </w:rPr>
        <w:t xml:space="preserve"> and drive positive outcomes for all.</w:t>
      </w:r>
    </w:p>
    <w:p w:rsidR="00915926" w:rsidRPr="00321F8B" w:rsidRDefault="00915926" w:rsidP="0006226C">
      <w:pPr>
        <w:autoSpaceDE w:val="0"/>
        <w:autoSpaceDN w:val="0"/>
        <w:adjustRightInd w:val="0"/>
        <w:jc w:val="both"/>
        <w:rPr>
          <w:rFonts w:ascii="Arial" w:eastAsia="Calibri" w:hAnsi="Arial" w:cs="Arial"/>
          <w:i/>
          <w:color w:val="FF0000"/>
        </w:rPr>
      </w:pPr>
    </w:p>
    <w:p w:rsidR="00915926" w:rsidRDefault="00915926" w:rsidP="0006226C">
      <w:pPr>
        <w:autoSpaceDE w:val="0"/>
        <w:autoSpaceDN w:val="0"/>
        <w:adjustRightInd w:val="0"/>
        <w:jc w:val="both"/>
        <w:rPr>
          <w:rFonts w:ascii="Arial" w:eastAsia="Calibri" w:hAnsi="Arial" w:cs="Arial"/>
          <w:i/>
          <w:color w:val="000000"/>
          <w:sz w:val="22"/>
        </w:rPr>
      </w:pPr>
    </w:p>
    <w:p w:rsidR="00662E9F" w:rsidRDefault="00662E9F" w:rsidP="0006226C">
      <w:pPr>
        <w:autoSpaceDE w:val="0"/>
        <w:autoSpaceDN w:val="0"/>
        <w:adjustRightInd w:val="0"/>
        <w:jc w:val="both"/>
        <w:rPr>
          <w:rFonts w:ascii="Arial" w:eastAsia="Calibri" w:hAnsi="Arial" w:cs="Arial"/>
          <w:i/>
          <w:color w:val="000000"/>
          <w:sz w:val="22"/>
        </w:rPr>
      </w:pPr>
    </w:p>
    <w:p w:rsidR="00803AB8" w:rsidRDefault="00803AB8" w:rsidP="0006226C">
      <w:pPr>
        <w:autoSpaceDE w:val="0"/>
        <w:autoSpaceDN w:val="0"/>
        <w:adjustRightInd w:val="0"/>
        <w:jc w:val="both"/>
        <w:rPr>
          <w:rFonts w:ascii="Arial" w:eastAsia="Calibri" w:hAnsi="Arial" w:cs="Arial"/>
          <w:i/>
          <w:color w:val="000000"/>
          <w:sz w:val="22"/>
        </w:rPr>
      </w:pPr>
    </w:p>
    <w:p w:rsidR="00803AB8" w:rsidRPr="00186CCA" w:rsidRDefault="00803AB8" w:rsidP="0006226C">
      <w:pPr>
        <w:autoSpaceDE w:val="0"/>
        <w:autoSpaceDN w:val="0"/>
        <w:adjustRightInd w:val="0"/>
        <w:jc w:val="both"/>
        <w:rPr>
          <w:rFonts w:ascii="Arial" w:eastAsia="Calibri" w:hAnsi="Arial" w:cs="Arial"/>
          <w:i/>
          <w:color w:val="000000"/>
          <w:sz w:val="22"/>
        </w:rPr>
      </w:pPr>
    </w:p>
    <w:p w:rsidR="0006226C" w:rsidRPr="00186CCA" w:rsidRDefault="008B4F8B" w:rsidP="0006226C">
      <w:pPr>
        <w:pStyle w:val="DHHSbody"/>
        <w:rPr>
          <w:b/>
          <w:sz w:val="22"/>
        </w:rPr>
      </w:pPr>
      <w:r>
        <w:rPr>
          <w:b/>
          <w:sz w:val="22"/>
        </w:rPr>
        <w:t>THE HON MARTIN PAKULA MP</w:t>
      </w:r>
    </w:p>
    <w:p w:rsidR="0006226C" w:rsidRPr="008B4F8B" w:rsidRDefault="0006226C" w:rsidP="0006226C">
      <w:pPr>
        <w:pStyle w:val="DHHSbody"/>
        <w:rPr>
          <w:b/>
          <w:sz w:val="22"/>
        </w:rPr>
      </w:pPr>
      <w:r w:rsidRPr="008B4F8B">
        <w:rPr>
          <w:b/>
          <w:sz w:val="22"/>
        </w:rPr>
        <w:t xml:space="preserve">Minister for </w:t>
      </w:r>
      <w:r w:rsidR="00A23BF8" w:rsidRPr="008B4F8B">
        <w:rPr>
          <w:b/>
          <w:sz w:val="22"/>
        </w:rPr>
        <w:t>Tourism, Sport and Major Events</w:t>
      </w:r>
    </w:p>
    <w:p w:rsidR="0006226C" w:rsidRPr="003C6BDE" w:rsidRDefault="0006226C">
      <w:pPr>
        <w:rPr>
          <w:rFonts w:ascii="Arial" w:hAnsi="Arial"/>
          <w:bCs/>
          <w:i/>
          <w:color w:val="AF272F"/>
          <w:sz w:val="44"/>
          <w:szCs w:val="44"/>
        </w:rPr>
      </w:pPr>
      <w:r w:rsidRPr="003C6BDE">
        <w:rPr>
          <w:i/>
        </w:rPr>
        <w:br w:type="page"/>
      </w:r>
    </w:p>
    <w:p w:rsidR="000A4D21" w:rsidRPr="000A4D21" w:rsidRDefault="000A4D21" w:rsidP="000A4D21">
      <w:pPr>
        <w:pStyle w:val="Heading1"/>
        <w:spacing w:before="0"/>
        <w:rPr>
          <w:b/>
        </w:rPr>
      </w:pPr>
      <w:bookmarkStart w:id="7" w:name="_Toc168601"/>
      <w:r w:rsidRPr="000A4D21">
        <w:lastRenderedPageBreak/>
        <w:t>1. Program description and objectives</w:t>
      </w:r>
      <w:bookmarkEnd w:id="3"/>
      <w:bookmarkEnd w:id="4"/>
      <w:bookmarkEnd w:id="5"/>
      <w:bookmarkEnd w:id="7"/>
    </w:p>
    <w:p w:rsidR="00E30414" w:rsidRPr="0098524F" w:rsidRDefault="000A4D21" w:rsidP="0098524F">
      <w:pPr>
        <w:pStyle w:val="Heading2"/>
      </w:pPr>
      <w:bookmarkStart w:id="8" w:name="_Toc508709296"/>
      <w:bookmarkStart w:id="9" w:name="_Toc509417029"/>
      <w:bookmarkStart w:id="10" w:name="_Toc518376406"/>
      <w:bookmarkStart w:id="11" w:name="_Toc168602"/>
      <w:r w:rsidRPr="000A4D21">
        <w:t xml:space="preserve">1.1. What is the Change Our Game </w:t>
      </w:r>
      <w:r w:rsidR="005C2684">
        <w:t>Research Grant</w:t>
      </w:r>
      <w:r w:rsidRPr="000A4D21">
        <w:t xml:space="preserve"> Program</w:t>
      </w:r>
      <w:bookmarkEnd w:id="8"/>
      <w:r w:rsidRPr="000A4D21">
        <w:t>?</w:t>
      </w:r>
      <w:bookmarkEnd w:id="9"/>
      <w:bookmarkEnd w:id="10"/>
      <w:bookmarkEnd w:id="11"/>
    </w:p>
    <w:p w:rsidR="006A7D9F" w:rsidRDefault="006A7D9F" w:rsidP="000A4D21">
      <w:pPr>
        <w:pStyle w:val="DHHSbody"/>
      </w:pPr>
      <w:bookmarkStart w:id="12" w:name="_Toc256778633"/>
      <w:r>
        <w:rPr>
          <w:rFonts w:cs="Arial"/>
        </w:rPr>
        <w:t xml:space="preserve">The </w:t>
      </w:r>
      <w:r w:rsidRPr="00DF5D39">
        <w:t>Change Our Game Research Grant Program</w:t>
      </w:r>
      <w:r>
        <w:t xml:space="preserve"> is a Victorian Government funding program th</w:t>
      </w:r>
      <w:r w:rsidR="00E97A69">
        <w:t xml:space="preserve">at assists Victorian researches </w:t>
      </w:r>
      <w:proofErr w:type="gramStart"/>
      <w:r w:rsidR="00C12799">
        <w:t xml:space="preserve">to </w:t>
      </w:r>
      <w:r>
        <w:t xml:space="preserve"> undertake</w:t>
      </w:r>
      <w:proofErr w:type="gramEnd"/>
      <w:r>
        <w:t xml:space="preserve"> research relating to women and girls in sport and active recreation.</w:t>
      </w:r>
    </w:p>
    <w:p w:rsidR="00171026" w:rsidRPr="00C12799" w:rsidRDefault="005127A7" w:rsidP="00C12799">
      <w:pPr>
        <w:pStyle w:val="DHHSbody"/>
        <w:rPr>
          <w:rFonts w:cs="Arial"/>
        </w:rPr>
      </w:pPr>
      <w:r w:rsidRPr="00AE12E3">
        <w:rPr>
          <w:rFonts w:cs="Arial"/>
        </w:rPr>
        <w:t>Research</w:t>
      </w:r>
      <w:r w:rsidR="00171026" w:rsidRPr="00AE12E3">
        <w:rPr>
          <w:rFonts w:cs="Arial"/>
        </w:rPr>
        <w:t xml:space="preserve"> </w:t>
      </w:r>
      <w:r w:rsidR="00231E0A">
        <w:rPr>
          <w:rFonts w:cs="Arial"/>
        </w:rPr>
        <w:t>g</w:t>
      </w:r>
      <w:r w:rsidR="00171026" w:rsidRPr="00AE12E3">
        <w:rPr>
          <w:rFonts w:cs="Arial"/>
        </w:rPr>
        <w:t>rants of up to $</w:t>
      </w:r>
      <w:r w:rsidR="009F17E4">
        <w:rPr>
          <w:rFonts w:cs="Arial"/>
        </w:rPr>
        <w:t>25</w:t>
      </w:r>
      <w:r w:rsidRPr="00AE12E3">
        <w:rPr>
          <w:rFonts w:cs="Arial"/>
        </w:rPr>
        <w:t>,</w:t>
      </w:r>
      <w:r w:rsidR="00171026" w:rsidRPr="00AE12E3">
        <w:rPr>
          <w:rFonts w:cs="Arial"/>
        </w:rPr>
        <w:t xml:space="preserve">000 </w:t>
      </w:r>
      <w:r w:rsidR="0078291C">
        <w:rPr>
          <w:rFonts w:cs="Arial"/>
        </w:rPr>
        <w:t>per project are available</w:t>
      </w:r>
      <w:r w:rsidR="00171026" w:rsidRPr="00AE12E3">
        <w:rPr>
          <w:rFonts w:cs="Arial"/>
        </w:rPr>
        <w:t xml:space="preserve"> to support</w:t>
      </w:r>
      <w:r w:rsidR="001A66D3">
        <w:rPr>
          <w:rFonts w:cs="Arial"/>
        </w:rPr>
        <w:t xml:space="preserve"> and advance</w:t>
      </w:r>
      <w:r w:rsidR="00171026" w:rsidRPr="00AE12E3">
        <w:rPr>
          <w:rFonts w:cs="Arial"/>
        </w:rPr>
        <w:t xml:space="preserve"> research</w:t>
      </w:r>
      <w:r w:rsidR="0078291C">
        <w:rPr>
          <w:rFonts w:cs="Arial"/>
        </w:rPr>
        <w:t xml:space="preserve"> </w:t>
      </w:r>
      <w:r w:rsidR="00AE12E3" w:rsidRPr="00AE12E3">
        <w:rPr>
          <w:rFonts w:cs="Arial"/>
        </w:rPr>
        <w:t xml:space="preserve">related to women and girls in sport and </w:t>
      </w:r>
      <w:r w:rsidR="001A66D3">
        <w:rPr>
          <w:rFonts w:cs="Arial"/>
        </w:rPr>
        <w:t xml:space="preserve">active </w:t>
      </w:r>
      <w:r w:rsidR="00AE12E3" w:rsidRPr="00AE12E3">
        <w:rPr>
          <w:rFonts w:cs="Arial"/>
        </w:rPr>
        <w:t>recreation.</w:t>
      </w:r>
      <w:r w:rsidR="00171026" w:rsidRPr="00AE12E3">
        <w:rPr>
          <w:rFonts w:cs="Arial"/>
        </w:rPr>
        <w:t xml:space="preserve"> </w:t>
      </w:r>
    </w:p>
    <w:p w:rsidR="000A4D21" w:rsidRPr="005723E7" w:rsidRDefault="000A4D21" w:rsidP="000A4D21">
      <w:pPr>
        <w:pStyle w:val="Heading2"/>
      </w:pPr>
      <w:bookmarkStart w:id="13" w:name="_Toc508709298"/>
      <w:bookmarkStart w:id="14" w:name="_Toc509417030"/>
      <w:bookmarkStart w:id="15" w:name="_Toc518376407"/>
      <w:bookmarkStart w:id="16" w:name="_Toc168603"/>
      <w:r w:rsidRPr="005723E7">
        <w:t>1.2. Why is the Victorian Government funding these grants?</w:t>
      </w:r>
      <w:bookmarkEnd w:id="13"/>
      <w:bookmarkEnd w:id="14"/>
      <w:bookmarkEnd w:id="15"/>
      <w:bookmarkEnd w:id="16"/>
    </w:p>
    <w:p w:rsidR="000A4D21" w:rsidRDefault="005C2684" w:rsidP="000A4D21">
      <w:pPr>
        <w:pStyle w:val="DHHSbody"/>
      </w:pPr>
      <w:r>
        <w:t>The</w:t>
      </w:r>
      <w:r w:rsidR="001A66D3">
        <w:t xml:space="preserve"> </w:t>
      </w:r>
      <w:r w:rsidR="001A66D3" w:rsidRPr="00DF5D39">
        <w:t>Change Our Game</w:t>
      </w:r>
      <w:r w:rsidRPr="00DF5D39">
        <w:t xml:space="preserve"> Research Grant Program</w:t>
      </w:r>
      <w:r>
        <w:t xml:space="preserve"> aims to build </w:t>
      </w:r>
      <w:r w:rsidR="00B508DB">
        <w:t>Victoria’s</w:t>
      </w:r>
      <w:r>
        <w:t xml:space="preserve"> research capacity around women and girls in sport</w:t>
      </w:r>
      <w:r w:rsidR="001A66D3">
        <w:t xml:space="preserve"> and active recreation</w:t>
      </w:r>
      <w:r>
        <w:t xml:space="preserve">, in turn leading to better outcomes for all Victorians. </w:t>
      </w:r>
    </w:p>
    <w:p w:rsidR="00DF5D39" w:rsidRPr="005723E7" w:rsidRDefault="00DF5D39" w:rsidP="00DF5D39">
      <w:pPr>
        <w:pStyle w:val="DHHSbody"/>
      </w:pPr>
      <w:r w:rsidRPr="005723E7">
        <w:t>In November 2015, the Inquiry into Women and Girls in Sport and Active Recreation (Inquiry) ma</w:t>
      </w:r>
      <w:r>
        <w:t xml:space="preserve">de </w:t>
      </w:r>
      <w:r w:rsidRPr="005723E7">
        <w:t xml:space="preserve">nine recommendations aimed at enhancing participation by women and girls in sport and active recreation and </w:t>
      </w:r>
      <w:r>
        <w:t>increasing</w:t>
      </w:r>
      <w:r w:rsidRPr="005723E7">
        <w:t xml:space="preserve"> engagement in leadership and governance roles.  The Victorian Government adopted all nine </w:t>
      </w:r>
      <w:r w:rsidRPr="00AD0648">
        <w:t>Inquiry</w:t>
      </w:r>
      <w:r w:rsidRPr="005723E7">
        <w:t xml:space="preserve"> recommendations.</w:t>
      </w:r>
    </w:p>
    <w:p w:rsidR="006A7D9F" w:rsidRDefault="009F18C1" w:rsidP="000A4D21">
      <w:pPr>
        <w:pStyle w:val="DHHSbody"/>
      </w:pPr>
      <w:r w:rsidRPr="005723E7">
        <w:t xml:space="preserve">The </w:t>
      </w:r>
      <w:r w:rsidRPr="00DF5D39">
        <w:t>Change Our Game Research Grant Program</w:t>
      </w:r>
      <w:r>
        <w:t xml:space="preserve"> </w:t>
      </w:r>
      <w:r w:rsidRPr="005723E7">
        <w:t>aims to address recommendation 7 (to build an enabling environment throu</w:t>
      </w:r>
      <w:r>
        <w:t>gh education and training). This includes building capacity to deliver more sector</w:t>
      </w:r>
      <w:r w:rsidR="006A7D9F">
        <w:t xml:space="preserve">-wide conferences and workshops on </w:t>
      </w:r>
      <w:r>
        <w:t xml:space="preserve">new </w:t>
      </w:r>
      <w:proofErr w:type="gramStart"/>
      <w:r>
        <w:t>research, and</w:t>
      </w:r>
      <w:proofErr w:type="gramEnd"/>
      <w:r>
        <w:t xml:space="preserve"> </w:t>
      </w:r>
      <w:r w:rsidR="006A7D9F">
        <w:t>develop</w:t>
      </w:r>
      <w:r w:rsidR="0078291C">
        <w:t>ing</w:t>
      </w:r>
      <w:r w:rsidR="006A7D9F">
        <w:t xml:space="preserve"> opportunities to support leadership pathways in schools and universities for young women. </w:t>
      </w:r>
    </w:p>
    <w:p w:rsidR="000A4D21" w:rsidRPr="005723E7" w:rsidRDefault="000A4D21" w:rsidP="000A4D21">
      <w:pPr>
        <w:pStyle w:val="Heading1"/>
      </w:pPr>
      <w:bookmarkStart w:id="17" w:name="_Toc508709299"/>
      <w:bookmarkStart w:id="18" w:name="_Toc509417031"/>
      <w:bookmarkStart w:id="19" w:name="_Toc518376408"/>
      <w:bookmarkStart w:id="20" w:name="_Toc168604"/>
      <w:r w:rsidRPr="005723E7">
        <w:t>2. Who can apply?</w:t>
      </w:r>
      <w:bookmarkEnd w:id="17"/>
      <w:bookmarkEnd w:id="18"/>
      <w:bookmarkEnd w:id="19"/>
      <w:bookmarkEnd w:id="20"/>
    </w:p>
    <w:p w:rsidR="00FE50A8" w:rsidRPr="00581A57" w:rsidRDefault="009F17E4" w:rsidP="00581A57">
      <w:pPr>
        <w:pStyle w:val="DHHSbody"/>
      </w:pPr>
      <w:r>
        <w:t>Victorian</w:t>
      </w:r>
      <w:r w:rsidR="007A7959">
        <w:t>-</w:t>
      </w:r>
      <w:r>
        <w:t xml:space="preserve">based universities are eligible to apply for </w:t>
      </w:r>
      <w:proofErr w:type="gramStart"/>
      <w:r>
        <w:t>funding</w:t>
      </w:r>
      <w:r w:rsidR="00BA082B">
        <w:t>, and</w:t>
      </w:r>
      <w:proofErr w:type="gramEnd"/>
      <w:r w:rsidR="00BA082B">
        <w:t xml:space="preserve"> may submit multiple applications</w:t>
      </w:r>
      <w:r w:rsidR="0078291C">
        <w:t xml:space="preserve"> for different projects</w:t>
      </w:r>
      <w:r>
        <w:t xml:space="preserve">. </w:t>
      </w:r>
    </w:p>
    <w:p w:rsidR="000A4D21" w:rsidRPr="00EC19B4" w:rsidRDefault="000A4D21" w:rsidP="000A4D21">
      <w:pPr>
        <w:pStyle w:val="Heading1"/>
        <w:spacing w:before="240" w:after="240"/>
        <w:rPr>
          <w:b/>
          <w:sz w:val="32"/>
          <w:szCs w:val="32"/>
        </w:rPr>
      </w:pPr>
      <w:bookmarkStart w:id="21" w:name="_Toc508709300"/>
      <w:bookmarkStart w:id="22" w:name="_Toc509417032"/>
      <w:bookmarkStart w:id="23" w:name="_Toc518376409"/>
      <w:bookmarkStart w:id="24" w:name="_Toc168605"/>
      <w:r w:rsidRPr="00EC19B4">
        <w:rPr>
          <w:sz w:val="32"/>
          <w:szCs w:val="32"/>
        </w:rPr>
        <w:t xml:space="preserve">3. What types of </w:t>
      </w:r>
      <w:r w:rsidR="00D17633">
        <w:rPr>
          <w:sz w:val="32"/>
          <w:szCs w:val="32"/>
        </w:rPr>
        <w:t>research programs</w:t>
      </w:r>
      <w:r w:rsidRPr="00EC19B4">
        <w:rPr>
          <w:sz w:val="32"/>
          <w:szCs w:val="32"/>
        </w:rPr>
        <w:t xml:space="preserve"> might be funded?</w:t>
      </w:r>
      <w:bookmarkEnd w:id="21"/>
      <w:bookmarkEnd w:id="22"/>
      <w:bookmarkEnd w:id="23"/>
      <w:bookmarkEnd w:id="24"/>
    </w:p>
    <w:p w:rsidR="000A4D21" w:rsidRPr="00B36AAE" w:rsidRDefault="000A4D21" w:rsidP="000A4D21">
      <w:pPr>
        <w:pStyle w:val="DHHSbody"/>
      </w:pPr>
      <w:r w:rsidRPr="00B36AAE">
        <w:t>The</w:t>
      </w:r>
      <w:r w:rsidRPr="00B36AAE">
        <w:rPr>
          <w:i/>
        </w:rPr>
        <w:t xml:space="preserve"> </w:t>
      </w:r>
      <w:r w:rsidR="00D80E82" w:rsidRPr="00FE50A8">
        <w:t>Change Our Game Research Grant Program</w:t>
      </w:r>
      <w:r w:rsidR="00D80E82" w:rsidRPr="005723E7">
        <w:t xml:space="preserve"> </w:t>
      </w:r>
      <w:r w:rsidRPr="00B36AAE">
        <w:t xml:space="preserve">will fund </w:t>
      </w:r>
      <w:r w:rsidR="00D17633">
        <w:t xml:space="preserve">research that is aimed at improving the environment for women and girls in sport and active recreation. </w:t>
      </w:r>
      <w:r w:rsidR="00C732E5">
        <w:t>Research topics</w:t>
      </w:r>
      <w:r w:rsidR="00D80E82">
        <w:t xml:space="preserve"> can include but </w:t>
      </w:r>
      <w:r w:rsidR="00C732E5">
        <w:t>are</w:t>
      </w:r>
      <w:r w:rsidR="00D80E82">
        <w:t xml:space="preserve"> not limited to:</w:t>
      </w:r>
    </w:p>
    <w:p w:rsidR="000A4D21" w:rsidRPr="005723E7" w:rsidRDefault="00C732E5" w:rsidP="007B418F">
      <w:pPr>
        <w:pStyle w:val="DHHSbullet1lastline"/>
      </w:pPr>
      <w:r>
        <w:t>i</w:t>
      </w:r>
      <w:r w:rsidR="00D17633">
        <w:t xml:space="preserve">dentifying barriers to participation </w:t>
      </w:r>
    </w:p>
    <w:p w:rsidR="000A4D21" w:rsidRPr="005723E7" w:rsidRDefault="00D17633" w:rsidP="007B418F">
      <w:pPr>
        <w:pStyle w:val="DHHSbullet1lastline"/>
      </w:pPr>
      <w:r>
        <w:t xml:space="preserve">gender equality initiatives in sport and recreation </w:t>
      </w:r>
    </w:p>
    <w:p w:rsidR="000A4D21" w:rsidRDefault="000A4D21" w:rsidP="007B418F">
      <w:pPr>
        <w:pStyle w:val="DHHSbullet1lastline"/>
      </w:pPr>
      <w:r w:rsidRPr="005723E7">
        <w:t xml:space="preserve">leadership </w:t>
      </w:r>
      <w:r w:rsidR="00D17633">
        <w:t>in sport</w:t>
      </w:r>
    </w:p>
    <w:p w:rsidR="00D80E82" w:rsidRDefault="00D80E82" w:rsidP="007B418F">
      <w:pPr>
        <w:pStyle w:val="DHHSbullet1lastline"/>
      </w:pPr>
      <w:r>
        <w:t>physical activity and health</w:t>
      </w:r>
    </w:p>
    <w:p w:rsidR="00D80E82" w:rsidRDefault="00D80E82" w:rsidP="007B418F">
      <w:pPr>
        <w:pStyle w:val="DHHSbullet1lastline"/>
      </w:pPr>
      <w:r>
        <w:t>active outdoor recreation</w:t>
      </w:r>
    </w:p>
    <w:p w:rsidR="000A4D21" w:rsidRPr="005723E7" w:rsidRDefault="00D17633" w:rsidP="007B418F">
      <w:pPr>
        <w:pStyle w:val="DHHSbullet1lastline"/>
      </w:pPr>
      <w:r>
        <w:t>safety in sport</w:t>
      </w:r>
    </w:p>
    <w:p w:rsidR="005E123A" w:rsidRPr="00930336" w:rsidRDefault="00D17633" w:rsidP="007B418F">
      <w:pPr>
        <w:pStyle w:val="DHHSbullet1lastline"/>
      </w:pPr>
      <w:r w:rsidRPr="00930336">
        <w:t>media coverage in sport</w:t>
      </w:r>
    </w:p>
    <w:p w:rsidR="000A4D21" w:rsidRPr="00930336" w:rsidRDefault="005E123A" w:rsidP="007B418F">
      <w:pPr>
        <w:pStyle w:val="DHHSbullet1lastline"/>
        <w:rPr>
          <w:rFonts w:cs="Arial"/>
        </w:rPr>
      </w:pPr>
      <w:r w:rsidRPr="00930336">
        <w:rPr>
          <w:rFonts w:cs="Arial"/>
        </w:rPr>
        <w:t xml:space="preserve">physical, mental and emotional </w:t>
      </w:r>
      <w:r w:rsidR="009F0CFA" w:rsidRPr="00930336">
        <w:rPr>
          <w:rFonts w:cs="Arial"/>
        </w:rPr>
        <w:t xml:space="preserve">benefits </w:t>
      </w:r>
      <w:r w:rsidRPr="00930336">
        <w:rPr>
          <w:rFonts w:cs="Arial"/>
        </w:rPr>
        <w:t>of physical activity and sports</w:t>
      </w:r>
    </w:p>
    <w:p w:rsidR="005F0815" w:rsidRPr="00930336" w:rsidRDefault="00231E0A" w:rsidP="00930336">
      <w:pPr>
        <w:pStyle w:val="DHHSbullet1lastline"/>
        <w:numPr>
          <w:ilvl w:val="1"/>
          <w:numId w:val="2"/>
        </w:numPr>
        <w:spacing w:after="60"/>
        <w:rPr>
          <w:rFonts w:cs="Arial"/>
        </w:rPr>
      </w:pPr>
      <w:r w:rsidRPr="00930336">
        <w:rPr>
          <w:rFonts w:cs="Arial"/>
        </w:rPr>
        <w:t>e</w:t>
      </w:r>
      <w:r w:rsidR="005E123A" w:rsidRPr="00930336">
        <w:rPr>
          <w:rFonts w:cs="Arial"/>
        </w:rPr>
        <w:t>xercise science</w:t>
      </w:r>
      <w:r w:rsidR="009F0CFA" w:rsidRPr="00930336">
        <w:rPr>
          <w:rFonts w:cs="Arial"/>
        </w:rPr>
        <w:t>.</w:t>
      </w:r>
    </w:p>
    <w:p w:rsidR="00A04D0A" w:rsidRDefault="00C732E5" w:rsidP="007E3BFD">
      <w:pPr>
        <w:pStyle w:val="DHHSbody"/>
      </w:pPr>
      <w:r>
        <w:t xml:space="preserve">The work must be </w:t>
      </w:r>
      <w:r w:rsidR="007E3BFD">
        <w:t>u</w:t>
      </w:r>
      <w:r>
        <w:t>nder</w:t>
      </w:r>
      <w:r w:rsidR="007B418F">
        <w:t>taken predominantly in Victor</w:t>
      </w:r>
      <w:r w:rsidR="009F17E4">
        <w:t>ia.</w:t>
      </w:r>
    </w:p>
    <w:p w:rsidR="000A4D21" w:rsidRPr="005723E7" w:rsidRDefault="000A4D21" w:rsidP="000A4D21">
      <w:pPr>
        <w:pStyle w:val="Heading2"/>
      </w:pPr>
      <w:bookmarkStart w:id="25" w:name="_Toc508709301"/>
      <w:bookmarkStart w:id="26" w:name="_Toc509417033"/>
      <w:bookmarkStart w:id="27" w:name="_Toc518376410"/>
      <w:bookmarkStart w:id="28" w:name="_Toc168606"/>
      <w:r w:rsidRPr="005723E7">
        <w:lastRenderedPageBreak/>
        <w:t>3.1. What will not be funded?</w:t>
      </w:r>
      <w:bookmarkEnd w:id="25"/>
      <w:bookmarkEnd w:id="26"/>
      <w:bookmarkEnd w:id="27"/>
      <w:bookmarkEnd w:id="28"/>
    </w:p>
    <w:p w:rsidR="00664BDC" w:rsidRDefault="00664BDC" w:rsidP="00664BDC">
      <w:pPr>
        <w:pStyle w:val="DHHSbody"/>
      </w:pPr>
      <w:r w:rsidRPr="00B36AAE">
        <w:t>The</w:t>
      </w:r>
      <w:r w:rsidRPr="00B36AAE">
        <w:rPr>
          <w:i/>
        </w:rPr>
        <w:t xml:space="preserve"> </w:t>
      </w:r>
      <w:r w:rsidRPr="00FE50A8">
        <w:t>Change Our Game Research Grant Program</w:t>
      </w:r>
      <w:r>
        <w:t xml:space="preserve"> will not fund:</w:t>
      </w:r>
    </w:p>
    <w:p w:rsidR="00A04D0A" w:rsidRDefault="0095665B" w:rsidP="00A04D0A">
      <w:pPr>
        <w:pStyle w:val="DHHSbody"/>
        <w:numPr>
          <w:ilvl w:val="0"/>
          <w:numId w:val="32"/>
        </w:numPr>
      </w:pPr>
      <w:r>
        <w:t>researchers</w:t>
      </w:r>
      <w:r w:rsidR="00D17633">
        <w:t xml:space="preserve"> not </w:t>
      </w:r>
      <w:r w:rsidR="009F0CFA">
        <w:t>associated with</w:t>
      </w:r>
      <w:r w:rsidR="00D17633">
        <w:t xml:space="preserve"> a university </w:t>
      </w:r>
    </w:p>
    <w:p w:rsidR="00A04D0A" w:rsidRDefault="009F0CFA" w:rsidP="00A04D0A">
      <w:pPr>
        <w:pStyle w:val="DHHSbody"/>
        <w:numPr>
          <w:ilvl w:val="0"/>
          <w:numId w:val="32"/>
        </w:numPr>
      </w:pPr>
      <w:r>
        <w:t>r</w:t>
      </w:r>
      <w:r w:rsidR="00D17633">
        <w:t xml:space="preserve">esearch without a </w:t>
      </w:r>
      <w:r w:rsidR="00D80E82">
        <w:t>specific</w:t>
      </w:r>
      <w:r w:rsidR="00D17633">
        <w:t xml:space="preserve"> focus on </w:t>
      </w:r>
      <w:r w:rsidR="00D80E82">
        <w:t>women</w:t>
      </w:r>
      <w:r w:rsidR="007E3BFD">
        <w:t xml:space="preserve"> and girls </w:t>
      </w:r>
      <w:r>
        <w:t>in sport and active recreation</w:t>
      </w:r>
      <w:r w:rsidR="00D80E82">
        <w:t xml:space="preserve"> </w:t>
      </w:r>
    </w:p>
    <w:p w:rsidR="000A4D21" w:rsidRPr="000A4D21" w:rsidRDefault="009F0CFA" w:rsidP="00A04D0A">
      <w:pPr>
        <w:pStyle w:val="DHHSbody"/>
        <w:numPr>
          <w:ilvl w:val="0"/>
          <w:numId w:val="32"/>
        </w:numPr>
      </w:pPr>
      <w:r>
        <w:t>r</w:t>
      </w:r>
      <w:r w:rsidR="00D80E82">
        <w:t>esearch that does not</w:t>
      </w:r>
      <w:r>
        <w:t xml:space="preserve"> align with departmental values.</w:t>
      </w:r>
    </w:p>
    <w:p w:rsidR="000A4D21" w:rsidRPr="005723E7" w:rsidRDefault="000A4D21" w:rsidP="000A4D21">
      <w:pPr>
        <w:pStyle w:val="Heading1"/>
      </w:pPr>
      <w:bookmarkStart w:id="29" w:name="_Toc508709303"/>
      <w:bookmarkStart w:id="30" w:name="_Toc509417034"/>
      <w:bookmarkStart w:id="31" w:name="_Toc518376411"/>
      <w:bookmarkStart w:id="32" w:name="_Toc168607"/>
      <w:r w:rsidRPr="005723E7">
        <w:t>4.  What are the funding details?</w:t>
      </w:r>
      <w:bookmarkEnd w:id="29"/>
      <w:bookmarkEnd w:id="30"/>
      <w:bookmarkEnd w:id="31"/>
      <w:bookmarkEnd w:id="32"/>
    </w:p>
    <w:p w:rsidR="000A4D21" w:rsidRDefault="000A4D21" w:rsidP="000A4D21">
      <w:pPr>
        <w:pStyle w:val="DHHSbody"/>
      </w:pPr>
      <w:r w:rsidRPr="00A77DE9">
        <w:t xml:space="preserve">The </w:t>
      </w:r>
      <w:r w:rsidR="00D80E82" w:rsidRPr="00FE50A8">
        <w:t>Change Our Game Research Grant Program</w:t>
      </w:r>
      <w:r w:rsidR="00D80E82">
        <w:t xml:space="preserve"> </w:t>
      </w:r>
      <w:r w:rsidR="00BC5A0D">
        <w:t xml:space="preserve">is a competitive program which </w:t>
      </w:r>
      <w:r w:rsidR="00D80E82">
        <w:t>offers grants of up to $</w:t>
      </w:r>
      <w:r w:rsidR="009F0A7B">
        <w:t>25</w:t>
      </w:r>
      <w:r w:rsidR="00D80E82">
        <w:t>,000</w:t>
      </w:r>
      <w:r w:rsidR="007A7959">
        <w:t xml:space="preserve"> per project</w:t>
      </w:r>
      <w:r w:rsidR="00D80E82">
        <w:t xml:space="preserve">. </w:t>
      </w:r>
    </w:p>
    <w:p w:rsidR="00D17633" w:rsidRDefault="00E97A69" w:rsidP="00D17633">
      <w:pPr>
        <w:pStyle w:val="DHHSbodynospace"/>
      </w:pPr>
      <w:bookmarkStart w:id="33" w:name="_Toc508709304"/>
      <w:bookmarkStart w:id="34" w:name="_Toc509417035"/>
      <w:bookmarkStart w:id="35" w:name="_Toc518376412"/>
      <w:r>
        <w:t>The Office for Women in Sport and Recreation</w:t>
      </w:r>
      <w:r w:rsidR="00D17633">
        <w:t xml:space="preserve"> reserve the right to </w:t>
      </w:r>
      <w:r w:rsidR="007A7959">
        <w:t>offer</w:t>
      </w:r>
      <w:r w:rsidR="00D17633">
        <w:t xml:space="preserve"> funding levels which may be less</w:t>
      </w:r>
      <w:r w:rsidR="007B418F">
        <w:t>, and a project duration that may differ,</w:t>
      </w:r>
      <w:r w:rsidR="00D17633">
        <w:t xml:space="preserve"> from that requested in the application</w:t>
      </w:r>
      <w:r w:rsidR="00BC5A0D">
        <w:t>.</w:t>
      </w:r>
    </w:p>
    <w:p w:rsidR="005E123A" w:rsidRPr="005E123A" w:rsidRDefault="000A4D21" w:rsidP="00BC5A0D">
      <w:pPr>
        <w:pStyle w:val="Heading1"/>
      </w:pPr>
      <w:bookmarkStart w:id="36" w:name="_Toc168608"/>
      <w:r w:rsidRPr="005723E7">
        <w:t>5. What is the application process?</w:t>
      </w:r>
      <w:bookmarkEnd w:id="33"/>
      <w:bookmarkEnd w:id="34"/>
      <w:bookmarkEnd w:id="35"/>
      <w:bookmarkEnd w:id="36"/>
    </w:p>
    <w:p w:rsidR="00BC5A0D" w:rsidRDefault="00BC5A0D" w:rsidP="005E123A">
      <w:pPr>
        <w:autoSpaceDE w:val="0"/>
        <w:autoSpaceDN w:val="0"/>
        <w:adjustRightInd w:val="0"/>
        <w:rPr>
          <w:rFonts w:ascii="Arial" w:hAnsi="Arial" w:cs="Arial"/>
          <w:color w:val="000000"/>
          <w:lang w:eastAsia="en-AU"/>
        </w:rPr>
      </w:pPr>
      <w:r w:rsidRPr="00D76E15">
        <w:rPr>
          <w:rFonts w:ascii="Arial" w:hAnsi="Arial" w:cs="Arial"/>
          <w:color w:val="000000"/>
          <w:lang w:eastAsia="en-AU"/>
        </w:rPr>
        <w:t>Applications will be accepted on a rolling basis</w:t>
      </w:r>
      <w:r w:rsidR="00D76E15">
        <w:rPr>
          <w:rFonts w:ascii="Arial" w:hAnsi="Arial" w:cs="Arial"/>
          <w:color w:val="000000"/>
          <w:lang w:eastAsia="en-AU"/>
        </w:rPr>
        <w:t xml:space="preserve"> via email at </w:t>
      </w:r>
      <w:hyperlink r:id="rId15" w:history="1">
        <w:r w:rsidR="00EB72FE" w:rsidRPr="00EA4E4E">
          <w:rPr>
            <w:rStyle w:val="Hyperlink"/>
            <w:rFonts w:ascii="Arial" w:hAnsi="Arial" w:cs="Arial"/>
            <w:lang w:eastAsia="en-AU"/>
          </w:rPr>
          <w:t>changeourgame@sport.vic.gov.au</w:t>
        </w:r>
      </w:hyperlink>
      <w:r w:rsidRPr="00D76E15">
        <w:rPr>
          <w:rFonts w:ascii="Arial" w:hAnsi="Arial" w:cs="Arial"/>
          <w:color w:val="000000"/>
          <w:lang w:eastAsia="en-AU"/>
        </w:rPr>
        <w:t>.</w:t>
      </w:r>
    </w:p>
    <w:p w:rsidR="00EB72FE" w:rsidRPr="00EB72FE" w:rsidRDefault="00EB72FE" w:rsidP="00EB72FE">
      <w:pPr>
        <w:autoSpaceDE w:val="0"/>
        <w:autoSpaceDN w:val="0"/>
        <w:adjustRightInd w:val="0"/>
        <w:rPr>
          <w:rFonts w:ascii="Arial" w:hAnsi="Arial" w:cs="Arial"/>
          <w:color w:val="000000"/>
          <w:lang w:eastAsia="en-AU"/>
        </w:rPr>
      </w:pPr>
    </w:p>
    <w:p w:rsidR="00EB72FE" w:rsidRPr="00D76E15" w:rsidRDefault="00EB72FE" w:rsidP="00EB72FE">
      <w:pPr>
        <w:autoSpaceDE w:val="0"/>
        <w:autoSpaceDN w:val="0"/>
        <w:adjustRightInd w:val="0"/>
        <w:rPr>
          <w:rFonts w:ascii="Arial" w:hAnsi="Arial" w:cs="Arial"/>
          <w:color w:val="000000"/>
          <w:lang w:eastAsia="en-AU"/>
        </w:rPr>
      </w:pPr>
      <w:r w:rsidRPr="00EB72FE">
        <w:rPr>
          <w:rFonts w:ascii="Arial" w:hAnsi="Arial" w:cs="Arial"/>
          <w:color w:val="000000"/>
          <w:lang w:eastAsia="en-AU"/>
        </w:rPr>
        <w:t>Email applications must include ‘2019 Change Our Game Research Grants’ followed by the applicant’s name in the emai</w:t>
      </w:r>
      <w:r w:rsidR="00A04D0A">
        <w:rPr>
          <w:rFonts w:ascii="Arial" w:hAnsi="Arial" w:cs="Arial"/>
          <w:color w:val="000000"/>
          <w:lang w:eastAsia="en-AU"/>
        </w:rPr>
        <w:t xml:space="preserve">l </w:t>
      </w:r>
      <w:r w:rsidRPr="00EB72FE">
        <w:rPr>
          <w:rFonts w:ascii="Arial" w:hAnsi="Arial" w:cs="Arial"/>
          <w:color w:val="000000"/>
          <w:lang w:eastAsia="en-AU"/>
        </w:rPr>
        <w:t>subject line.</w:t>
      </w:r>
    </w:p>
    <w:p w:rsidR="00FF61BD" w:rsidRPr="00D76E15" w:rsidRDefault="00FF61BD" w:rsidP="005E123A">
      <w:pPr>
        <w:autoSpaceDE w:val="0"/>
        <w:autoSpaceDN w:val="0"/>
        <w:adjustRightInd w:val="0"/>
        <w:rPr>
          <w:rFonts w:ascii="Arial" w:hAnsi="Arial" w:cs="Arial"/>
          <w:color w:val="000000"/>
          <w:lang w:eastAsia="en-AU"/>
        </w:rPr>
      </w:pPr>
    </w:p>
    <w:p w:rsidR="005E123A" w:rsidRPr="00D76E15" w:rsidRDefault="00FF61BD" w:rsidP="005E123A">
      <w:pPr>
        <w:autoSpaceDE w:val="0"/>
        <w:autoSpaceDN w:val="0"/>
        <w:adjustRightInd w:val="0"/>
        <w:rPr>
          <w:rFonts w:ascii="Arial" w:hAnsi="Arial" w:cs="Arial"/>
          <w:color w:val="000000"/>
          <w:lang w:eastAsia="en-AU"/>
        </w:rPr>
      </w:pPr>
      <w:r w:rsidRPr="00D76E15">
        <w:rPr>
          <w:rFonts w:ascii="Arial" w:hAnsi="Arial" w:cs="Arial"/>
          <w:color w:val="000000"/>
          <w:lang w:eastAsia="en-AU"/>
        </w:rPr>
        <w:t xml:space="preserve">Applications </w:t>
      </w:r>
      <w:r w:rsidR="00394C4B">
        <w:rPr>
          <w:rFonts w:ascii="Arial" w:hAnsi="Arial" w:cs="Arial"/>
          <w:color w:val="000000"/>
          <w:lang w:eastAsia="en-AU"/>
        </w:rPr>
        <w:t xml:space="preserve">need to </w:t>
      </w:r>
      <w:r w:rsidRPr="00D76E15">
        <w:rPr>
          <w:rFonts w:ascii="Arial" w:hAnsi="Arial" w:cs="Arial"/>
          <w:color w:val="000000"/>
          <w:lang w:eastAsia="en-AU"/>
        </w:rPr>
        <w:t>address the following:</w:t>
      </w:r>
    </w:p>
    <w:p w:rsidR="00BC5A0D" w:rsidRPr="005E123A" w:rsidRDefault="00BC5A0D" w:rsidP="005E123A">
      <w:pPr>
        <w:autoSpaceDE w:val="0"/>
        <w:autoSpaceDN w:val="0"/>
        <w:adjustRightInd w:val="0"/>
        <w:rPr>
          <w:rFonts w:ascii="Arial" w:hAnsi="Arial" w:cs="Arial"/>
          <w:color w:val="000000"/>
          <w:lang w:eastAsia="en-AU"/>
        </w:rPr>
      </w:pPr>
    </w:p>
    <w:p w:rsidR="006A17D5" w:rsidRPr="007B418F" w:rsidRDefault="00D76E15" w:rsidP="00C12799">
      <w:pPr>
        <w:pStyle w:val="DHHSbullet1"/>
        <w:numPr>
          <w:ilvl w:val="0"/>
          <w:numId w:val="41"/>
        </w:numPr>
        <w:rPr>
          <w:lang w:eastAsia="en-AU"/>
        </w:rPr>
      </w:pPr>
      <w:r w:rsidRPr="007B418F">
        <w:rPr>
          <w:lang w:eastAsia="en-AU"/>
        </w:rPr>
        <w:t xml:space="preserve">Personal details: </w:t>
      </w:r>
      <w:r w:rsidR="007B418F">
        <w:t>p</w:t>
      </w:r>
      <w:r w:rsidR="006A17D5" w:rsidRPr="007B418F">
        <w:t>rovide details of the core project team, collaborators and partners, include</w:t>
      </w:r>
      <w:r w:rsidR="0010437D">
        <w:t xml:space="preserve"> a</w:t>
      </w:r>
      <w:r w:rsidR="006A17D5" w:rsidRPr="007B418F">
        <w:t xml:space="preserve"> mailing address of </w:t>
      </w:r>
      <w:r w:rsidR="007B418F">
        <w:t xml:space="preserve">the </w:t>
      </w:r>
      <w:r w:rsidR="006A17D5" w:rsidRPr="007B418F">
        <w:t xml:space="preserve">organisation and </w:t>
      </w:r>
      <w:r w:rsidR="007B418F">
        <w:t xml:space="preserve">a </w:t>
      </w:r>
      <w:r w:rsidR="006A17D5" w:rsidRPr="007B418F">
        <w:t>contact number</w:t>
      </w:r>
      <w:r w:rsidR="006A17D5" w:rsidRPr="007B418F">
        <w:rPr>
          <w:lang w:eastAsia="en-AU"/>
        </w:rPr>
        <w:t xml:space="preserve"> </w:t>
      </w:r>
    </w:p>
    <w:p w:rsidR="005E123A" w:rsidRPr="007B418F" w:rsidRDefault="005E123A" w:rsidP="007B418F">
      <w:pPr>
        <w:pStyle w:val="DHHSbullet1"/>
      </w:pPr>
      <w:r w:rsidRPr="007B418F">
        <w:rPr>
          <w:lang w:eastAsia="en-AU"/>
        </w:rPr>
        <w:t xml:space="preserve">Project title </w:t>
      </w:r>
      <w:r w:rsidR="006A17D5" w:rsidRPr="007B418F">
        <w:rPr>
          <w:lang w:eastAsia="en-AU"/>
        </w:rPr>
        <w:t>and background</w:t>
      </w:r>
    </w:p>
    <w:p w:rsidR="005E123A" w:rsidRPr="007B418F" w:rsidRDefault="005E123A" w:rsidP="007B418F">
      <w:pPr>
        <w:pStyle w:val="DHHSbullet1"/>
        <w:rPr>
          <w:lang w:eastAsia="en-AU"/>
        </w:rPr>
      </w:pPr>
      <w:r w:rsidRPr="007B418F">
        <w:rPr>
          <w:lang w:eastAsia="en-AU"/>
        </w:rPr>
        <w:t xml:space="preserve">Aims of research </w:t>
      </w:r>
    </w:p>
    <w:p w:rsidR="005E123A" w:rsidRPr="007B418F" w:rsidRDefault="005E123A" w:rsidP="007B418F">
      <w:pPr>
        <w:pStyle w:val="DHHSbullet1"/>
        <w:rPr>
          <w:lang w:eastAsia="en-AU"/>
        </w:rPr>
      </w:pPr>
      <w:r w:rsidRPr="007B418F">
        <w:rPr>
          <w:lang w:eastAsia="en-AU"/>
        </w:rPr>
        <w:t xml:space="preserve">Methodology </w:t>
      </w:r>
    </w:p>
    <w:p w:rsidR="00894F63" w:rsidRPr="007B418F" w:rsidRDefault="00894F63" w:rsidP="007B418F">
      <w:pPr>
        <w:pStyle w:val="DHHSbullet1"/>
        <w:rPr>
          <w:lang w:eastAsia="en-AU"/>
        </w:rPr>
      </w:pPr>
      <w:r w:rsidRPr="007B418F">
        <w:rPr>
          <w:lang w:eastAsia="en-AU"/>
        </w:rPr>
        <w:t xml:space="preserve">Benefits derived from the research </w:t>
      </w:r>
    </w:p>
    <w:p w:rsidR="006A17D5" w:rsidRPr="007B418F" w:rsidRDefault="006A17D5" w:rsidP="007B418F">
      <w:pPr>
        <w:pStyle w:val="DHHSbullet1"/>
        <w:rPr>
          <w:lang w:eastAsia="en-AU"/>
        </w:rPr>
      </w:pPr>
      <w:r w:rsidRPr="007B418F">
        <w:rPr>
          <w:lang w:eastAsia="en-AU"/>
        </w:rPr>
        <w:t>Budget: include a budget breakdown for the use and justi</w:t>
      </w:r>
      <w:r w:rsidR="0010437D">
        <w:rPr>
          <w:lang w:eastAsia="en-AU"/>
        </w:rPr>
        <w:t>fication of the requested funds</w:t>
      </w:r>
    </w:p>
    <w:p w:rsidR="001F5F0D" w:rsidRPr="007B418F" w:rsidRDefault="007B418F" w:rsidP="007B418F">
      <w:pPr>
        <w:pStyle w:val="DHHSbullet1"/>
        <w:rPr>
          <w:u w:val="dotted"/>
          <w:lang w:eastAsia="en-AU"/>
        </w:rPr>
      </w:pPr>
      <w:r>
        <w:rPr>
          <w:lang w:eastAsia="en-AU"/>
        </w:rPr>
        <w:t>L</w:t>
      </w:r>
      <w:r w:rsidR="007805D9" w:rsidRPr="007B418F">
        <w:rPr>
          <w:rFonts w:eastAsia="Times New Roman"/>
          <w:lang w:eastAsia="en-AU"/>
        </w:rPr>
        <w:t>etter of support from the applicant organisation</w:t>
      </w:r>
      <w:r>
        <w:rPr>
          <w:rFonts w:eastAsia="Times New Roman"/>
          <w:lang w:eastAsia="en-AU"/>
        </w:rPr>
        <w:t>.</w:t>
      </w:r>
    </w:p>
    <w:p w:rsidR="000A4D21" w:rsidRDefault="000A4D21" w:rsidP="000A4D21">
      <w:pPr>
        <w:pStyle w:val="Heading1"/>
      </w:pPr>
      <w:bookmarkStart w:id="37" w:name="_Toc508709305"/>
      <w:bookmarkStart w:id="38" w:name="_Toc509417036"/>
      <w:bookmarkStart w:id="39" w:name="_Toc518376413"/>
      <w:bookmarkStart w:id="40" w:name="_Toc168609"/>
      <w:r w:rsidRPr="00EB64E7">
        <w:t>6. Timelines</w:t>
      </w:r>
      <w:bookmarkEnd w:id="37"/>
      <w:bookmarkEnd w:id="38"/>
      <w:bookmarkEnd w:id="39"/>
      <w:bookmarkEnd w:id="40"/>
      <w:r w:rsidRPr="00EB64E7">
        <w:t xml:space="preserve"> </w:t>
      </w:r>
    </w:p>
    <w:p w:rsidR="00171026" w:rsidRPr="00D80E82" w:rsidRDefault="00102705" w:rsidP="00D80E82">
      <w:pPr>
        <w:pStyle w:val="DHHSbody"/>
      </w:pPr>
      <w:r>
        <w:t xml:space="preserve">The </w:t>
      </w:r>
      <w:r w:rsidRPr="00FE50A8">
        <w:t>Change Our Game Research Grant Program</w:t>
      </w:r>
      <w:r w:rsidR="00780965" w:rsidRPr="007B418F">
        <w:rPr>
          <w:i/>
        </w:rPr>
        <w:t xml:space="preserve"> </w:t>
      </w:r>
      <w:r w:rsidR="00780965">
        <w:t xml:space="preserve">is open all year. </w:t>
      </w:r>
      <w:r w:rsidR="006A17D5">
        <w:t xml:space="preserve">The Office for Women in Sport and Recreation will endeavour to assess applications </w:t>
      </w:r>
      <w:r w:rsidR="00D80E82">
        <w:t>within a month of being received, and applicants will be notified accordingly.</w:t>
      </w:r>
    </w:p>
    <w:p w:rsidR="00CA4DBA" w:rsidRPr="00AD5E50" w:rsidRDefault="000A4D21" w:rsidP="00AD5E50">
      <w:pPr>
        <w:pStyle w:val="Heading2"/>
      </w:pPr>
      <w:bookmarkStart w:id="41" w:name="_Toc518376414"/>
      <w:bookmarkStart w:id="42" w:name="_Toc168610"/>
      <w:r w:rsidRPr="00EC19B4">
        <w:t>6.</w:t>
      </w:r>
      <w:r>
        <w:t>1</w:t>
      </w:r>
      <w:r w:rsidRPr="00EC19B4">
        <w:t xml:space="preserve"> Assessment Criteria</w:t>
      </w:r>
      <w:bookmarkEnd w:id="41"/>
      <w:bookmarkEnd w:id="42"/>
    </w:p>
    <w:p w:rsidR="000A4D21" w:rsidRPr="00EB64E7" w:rsidRDefault="000A4D21" w:rsidP="000A4D21">
      <w:pPr>
        <w:pStyle w:val="DHHSbody"/>
      </w:pPr>
      <w:r w:rsidRPr="00EB64E7">
        <w:t>Applications are competitive and will be assessed</w:t>
      </w:r>
      <w:r w:rsidR="00AD5E50">
        <w:t xml:space="preserve"> by the Office for Women in Sport and Recreation</w:t>
      </w:r>
      <w:r w:rsidR="007A7959">
        <w:t>. Factors to be considered include</w:t>
      </w:r>
      <w:r w:rsidRPr="00EB64E7">
        <w:t>:</w:t>
      </w:r>
    </w:p>
    <w:p w:rsidR="000A4D21" w:rsidRPr="00E03EB8" w:rsidRDefault="0023402C" w:rsidP="00031710">
      <w:pPr>
        <w:pStyle w:val="DHHSbullet1"/>
        <w:numPr>
          <w:ilvl w:val="0"/>
          <w:numId w:val="44"/>
        </w:numPr>
      </w:pPr>
      <w:r w:rsidRPr="00E03EB8">
        <w:t>alignment</w:t>
      </w:r>
      <w:r w:rsidR="000A4D21" w:rsidRPr="00E03EB8">
        <w:t xml:space="preserve"> </w:t>
      </w:r>
      <w:r w:rsidR="00E03EB8">
        <w:t xml:space="preserve">and </w:t>
      </w:r>
      <w:r w:rsidR="005F5ACC" w:rsidRPr="00E03EB8">
        <w:t xml:space="preserve">relevance </w:t>
      </w:r>
      <w:r w:rsidR="000A4D21" w:rsidRPr="00E03EB8">
        <w:t xml:space="preserve">of proposed </w:t>
      </w:r>
      <w:r w:rsidRPr="00E03EB8">
        <w:t>research to Change Our Game priorities</w:t>
      </w:r>
    </w:p>
    <w:p w:rsidR="005F0815" w:rsidRDefault="00E03EB8" w:rsidP="00031710">
      <w:pPr>
        <w:pStyle w:val="DHHSbullet1"/>
        <w:numPr>
          <w:ilvl w:val="0"/>
          <w:numId w:val="44"/>
        </w:numPr>
      </w:pPr>
      <w:r>
        <w:lastRenderedPageBreak/>
        <w:t>ability to a</w:t>
      </w:r>
      <w:r w:rsidR="005F0815" w:rsidRPr="00E03EB8">
        <w:t xml:space="preserve">rticulate the value of the expected outcome/s of the research proposal to Victoria, Victorians and to Victoria’s </w:t>
      </w:r>
      <w:r w:rsidR="00C8785A" w:rsidRPr="00E03EB8">
        <w:t>sport</w:t>
      </w:r>
      <w:r w:rsidR="005F0815" w:rsidRPr="00E03EB8">
        <w:t xml:space="preserve"> research capabilities  </w:t>
      </w:r>
    </w:p>
    <w:p w:rsidR="009F17E4" w:rsidRPr="00581A57" w:rsidRDefault="007A7959" w:rsidP="00031710">
      <w:pPr>
        <w:pStyle w:val="DHHSbullet1"/>
        <w:numPr>
          <w:ilvl w:val="0"/>
          <w:numId w:val="44"/>
        </w:numPr>
      </w:pPr>
      <w:r>
        <w:t>extent to which project will develop</w:t>
      </w:r>
      <w:r w:rsidR="009F17E4" w:rsidRPr="00581A57">
        <w:t xml:space="preserve"> women as researchers in the sport</w:t>
      </w:r>
      <w:r>
        <w:t xml:space="preserve"> and active recreation</w:t>
      </w:r>
      <w:r w:rsidR="009F17E4" w:rsidRPr="00581A57">
        <w:t xml:space="preserve"> field</w:t>
      </w:r>
    </w:p>
    <w:p w:rsidR="005F0815" w:rsidRPr="00E03EB8" w:rsidRDefault="00E03EB8" w:rsidP="00031710">
      <w:pPr>
        <w:pStyle w:val="DHHSbullet1"/>
        <w:numPr>
          <w:ilvl w:val="0"/>
          <w:numId w:val="44"/>
        </w:numPr>
      </w:pPr>
      <w:r>
        <w:t>d</w:t>
      </w:r>
      <w:r w:rsidR="005F0815" w:rsidRPr="00E03EB8">
        <w:t xml:space="preserve">etailed </w:t>
      </w:r>
      <w:r w:rsidR="00184148" w:rsidRPr="00E03EB8">
        <w:t xml:space="preserve">and realistic </w:t>
      </w:r>
      <w:r w:rsidR="005F0815" w:rsidRPr="00E03EB8">
        <w:t>project budget</w:t>
      </w:r>
    </w:p>
    <w:p w:rsidR="005F5ACC" w:rsidRPr="00E03EB8" w:rsidRDefault="005F5ACC" w:rsidP="00031710">
      <w:pPr>
        <w:pStyle w:val="DHHSbullet1"/>
        <w:numPr>
          <w:ilvl w:val="0"/>
          <w:numId w:val="44"/>
        </w:numPr>
        <w:rPr>
          <w:u w:val="dotted"/>
          <w:lang w:eastAsia="en-AU"/>
        </w:rPr>
      </w:pPr>
      <w:r w:rsidRPr="00E03EB8">
        <w:rPr>
          <w:lang w:eastAsia="en-AU"/>
        </w:rPr>
        <w:t>letter of support from the applicant organisation, including details of how the proposal will accelerate the research and provide benefit to Victorians</w:t>
      </w:r>
      <w:r w:rsidR="00581A57">
        <w:rPr>
          <w:lang w:eastAsia="en-AU"/>
        </w:rPr>
        <w:t>.</w:t>
      </w:r>
    </w:p>
    <w:p w:rsidR="00171026" w:rsidRDefault="00171026" w:rsidP="00171026">
      <w:pPr>
        <w:pStyle w:val="Default"/>
      </w:pPr>
    </w:p>
    <w:p w:rsidR="00171026" w:rsidRDefault="00A23BF8" w:rsidP="005F0815">
      <w:pPr>
        <w:pStyle w:val="DHHSbody"/>
      </w:pPr>
      <w:r>
        <w:t>Applications that have a focus on women and girls with a disability, LGBTI+ communities, Aboriginal women and girls and culturally and linguistically diverse women and girls will be view</w:t>
      </w:r>
      <w:r w:rsidR="00AA100A">
        <w:t>ed</w:t>
      </w:r>
      <w:r>
        <w:t xml:space="preserve"> favourably.</w:t>
      </w:r>
    </w:p>
    <w:p w:rsidR="000A4D21" w:rsidRPr="00E12037" w:rsidRDefault="000A4D21" w:rsidP="00E12037">
      <w:pPr>
        <w:pStyle w:val="Heading1"/>
      </w:pPr>
      <w:bookmarkStart w:id="43" w:name="_Toc508709307"/>
      <w:bookmarkStart w:id="44" w:name="_Toc509417038"/>
      <w:bookmarkStart w:id="45" w:name="_Toc518376416"/>
      <w:bookmarkStart w:id="46" w:name="_Toc168611"/>
      <w:bookmarkStart w:id="47" w:name="_Toc434840974"/>
      <w:bookmarkStart w:id="48" w:name="_Toc506193409"/>
      <w:bookmarkStart w:id="49" w:name="_Toc506563988"/>
      <w:r w:rsidRPr="00E12037">
        <w:t xml:space="preserve">7. </w:t>
      </w:r>
      <w:bookmarkEnd w:id="43"/>
      <w:r w:rsidRPr="00E12037">
        <w:t>Conditions that apply to applications and funding</w:t>
      </w:r>
      <w:bookmarkEnd w:id="44"/>
      <w:bookmarkEnd w:id="45"/>
      <w:bookmarkEnd w:id="46"/>
    </w:p>
    <w:p w:rsidR="000A4D21" w:rsidRPr="00EB64E7" w:rsidRDefault="000A4D21" w:rsidP="000A4D21">
      <w:pPr>
        <w:pStyle w:val="Heading2"/>
      </w:pPr>
      <w:bookmarkStart w:id="50" w:name="_Toc508709309"/>
      <w:bookmarkStart w:id="51" w:name="_Toc509417039"/>
      <w:bookmarkStart w:id="52" w:name="_Toc518376417"/>
      <w:bookmarkStart w:id="53" w:name="_Toc168612"/>
      <w:bookmarkEnd w:id="47"/>
      <w:bookmarkEnd w:id="48"/>
      <w:bookmarkEnd w:id="49"/>
      <w:r w:rsidRPr="00EB64E7">
        <w:t>7.1. Funding Agreements</w:t>
      </w:r>
      <w:bookmarkEnd w:id="50"/>
      <w:bookmarkEnd w:id="51"/>
      <w:bookmarkEnd w:id="52"/>
      <w:bookmarkEnd w:id="53"/>
    </w:p>
    <w:p w:rsidR="003826E9" w:rsidRPr="009801C1" w:rsidRDefault="003826E9" w:rsidP="003826E9">
      <w:pPr>
        <w:pStyle w:val="DHHSbody"/>
      </w:pPr>
      <w:r w:rsidRPr="009801C1">
        <w:t>Successful applicants must enter into a funding agreement with</w:t>
      </w:r>
      <w:r w:rsidR="003C1731">
        <w:t xml:space="preserve"> the</w:t>
      </w:r>
      <w:r w:rsidRPr="009801C1">
        <w:t xml:space="preserve"> Department of </w:t>
      </w:r>
      <w:r w:rsidR="00874D35">
        <w:t>Jobs, Precincts and Regions</w:t>
      </w:r>
      <w:r w:rsidRPr="009801C1">
        <w:t xml:space="preserve">. Funding agreements establish the parties and their commitments and obligations to each other and set out the general terms and conditions of funding. </w:t>
      </w:r>
    </w:p>
    <w:p w:rsidR="003826E9" w:rsidRDefault="003826E9" w:rsidP="003826E9">
      <w:pPr>
        <w:pStyle w:val="DHHSbody"/>
      </w:pPr>
      <w:r w:rsidRPr="009801C1">
        <w:t xml:space="preserve">Different terms and conditions apply to different types of grants and grant recipients.  These terms and conditions are not negotiable. A representative from </w:t>
      </w:r>
      <w:r w:rsidR="00B63B37">
        <w:t xml:space="preserve">the Office for Women in Sport and </w:t>
      </w:r>
      <w:r w:rsidR="00B73DB9">
        <w:t>Recreation</w:t>
      </w:r>
      <w:r w:rsidRPr="009801C1">
        <w:t xml:space="preserve"> will be able to discuss the requirements of this funding agreement</w:t>
      </w:r>
      <w:r w:rsidR="007A7959">
        <w:t xml:space="preserve"> by emailing changeourgame@sport.vic.gov.au.</w:t>
      </w:r>
    </w:p>
    <w:p w:rsidR="003826E9" w:rsidRPr="009801C1" w:rsidRDefault="003826E9" w:rsidP="003826E9">
      <w:pPr>
        <w:pStyle w:val="Heading2"/>
      </w:pPr>
      <w:bookmarkStart w:id="54" w:name="_Toc168613"/>
      <w:r>
        <w:t>7.</w:t>
      </w:r>
      <w:r w:rsidR="00546461">
        <w:t>2</w:t>
      </w:r>
      <w:r>
        <w:t>. Conditions of Funding</w:t>
      </w:r>
      <w:bookmarkEnd w:id="54"/>
    </w:p>
    <w:p w:rsidR="003826E9" w:rsidRDefault="003826E9" w:rsidP="003826E9">
      <w:pPr>
        <w:pStyle w:val="DHHSbody"/>
      </w:pPr>
      <w:r w:rsidRPr="009801C1">
        <w:t>The following conditions will apply to organisations that will receive, or benefit from a grant:</w:t>
      </w:r>
    </w:p>
    <w:p w:rsidR="00917992" w:rsidRDefault="00917992" w:rsidP="00917992">
      <w:pPr>
        <w:pStyle w:val="Heading4"/>
      </w:pPr>
      <w:r>
        <w:t>Documents and reporting</w:t>
      </w:r>
    </w:p>
    <w:p w:rsidR="00546461" w:rsidRPr="00894F63" w:rsidRDefault="00EE3123" w:rsidP="00894F63">
      <w:pPr>
        <w:autoSpaceDE w:val="0"/>
        <w:autoSpaceDN w:val="0"/>
        <w:adjustRightInd w:val="0"/>
        <w:rPr>
          <w:rFonts w:ascii="Arial" w:hAnsi="Arial" w:cs="Arial"/>
          <w:color w:val="000000"/>
          <w:lang w:eastAsia="en-AU"/>
        </w:rPr>
      </w:pPr>
      <w:r w:rsidRPr="00894F63">
        <w:rPr>
          <w:rFonts w:ascii="Arial" w:hAnsi="Arial" w:cs="Arial"/>
          <w:color w:val="000000"/>
          <w:lang w:eastAsia="en-AU"/>
        </w:rPr>
        <w:t xml:space="preserve">Grant holders undertake to provide the </w:t>
      </w:r>
      <w:r w:rsidR="00B63B37" w:rsidRPr="00894F63">
        <w:rPr>
          <w:rFonts w:ascii="Arial" w:hAnsi="Arial" w:cs="Arial"/>
          <w:color w:val="000000"/>
          <w:lang w:eastAsia="en-AU"/>
        </w:rPr>
        <w:t>Office for Women in Sport and Recreation</w:t>
      </w:r>
      <w:r w:rsidRPr="00894F63">
        <w:rPr>
          <w:rFonts w:ascii="Arial" w:hAnsi="Arial" w:cs="Arial"/>
          <w:color w:val="000000"/>
          <w:lang w:eastAsia="en-AU"/>
        </w:rPr>
        <w:t xml:space="preserve"> </w:t>
      </w:r>
      <w:r w:rsidR="007A7959">
        <w:rPr>
          <w:rFonts w:ascii="Arial" w:hAnsi="Arial" w:cs="Arial"/>
          <w:color w:val="000000"/>
          <w:lang w:eastAsia="en-AU"/>
        </w:rPr>
        <w:t xml:space="preserve">(OWSR) </w:t>
      </w:r>
      <w:r w:rsidRPr="00894F63">
        <w:rPr>
          <w:rFonts w:ascii="Arial" w:hAnsi="Arial" w:cs="Arial"/>
          <w:color w:val="000000"/>
          <w:lang w:eastAsia="en-AU"/>
        </w:rPr>
        <w:t>with the following documents (electronic version)</w:t>
      </w:r>
      <w:r w:rsidR="00B63B37" w:rsidRPr="00894F63">
        <w:rPr>
          <w:rFonts w:ascii="Arial" w:hAnsi="Arial" w:cs="Arial"/>
          <w:color w:val="000000"/>
          <w:lang w:eastAsia="en-AU"/>
        </w:rPr>
        <w:t>:</w:t>
      </w:r>
    </w:p>
    <w:p w:rsidR="00171026" w:rsidRPr="003B5849" w:rsidRDefault="00171026" w:rsidP="00EB04B7">
      <w:pPr>
        <w:pStyle w:val="ListParagraph"/>
        <w:autoSpaceDE w:val="0"/>
        <w:autoSpaceDN w:val="0"/>
        <w:adjustRightInd w:val="0"/>
        <w:ind w:left="1440"/>
        <w:rPr>
          <w:rFonts w:ascii="Arial" w:hAnsi="Arial" w:cs="Arial"/>
          <w:color w:val="000000"/>
          <w:lang w:eastAsia="en-AU"/>
        </w:rPr>
      </w:pPr>
    </w:p>
    <w:tbl>
      <w:tblPr>
        <w:tblStyle w:val="TableGrid"/>
        <w:tblW w:w="0" w:type="auto"/>
        <w:tblInd w:w="137" w:type="dxa"/>
        <w:tblLook w:val="04A0" w:firstRow="1" w:lastRow="0" w:firstColumn="1" w:lastColumn="0" w:noHBand="0" w:noVBand="1"/>
      </w:tblPr>
      <w:tblGrid>
        <w:gridCol w:w="3547"/>
        <w:gridCol w:w="3266"/>
        <w:gridCol w:w="2564"/>
      </w:tblGrid>
      <w:tr w:rsidR="00546461" w:rsidTr="00060D9B">
        <w:tc>
          <w:tcPr>
            <w:tcW w:w="3547" w:type="dxa"/>
            <w:vAlign w:val="center"/>
          </w:tcPr>
          <w:p w:rsidR="00546461" w:rsidRPr="00894F63" w:rsidRDefault="00546461" w:rsidP="00060D9B">
            <w:pPr>
              <w:pStyle w:val="ListParagraph"/>
              <w:autoSpaceDE w:val="0"/>
              <w:autoSpaceDN w:val="0"/>
              <w:adjustRightInd w:val="0"/>
              <w:ind w:left="0"/>
              <w:rPr>
                <w:rFonts w:ascii="Arial" w:hAnsi="Arial" w:cs="Arial"/>
                <w:b/>
                <w:color w:val="000000"/>
                <w:lang w:eastAsia="en-AU"/>
              </w:rPr>
            </w:pPr>
            <w:r w:rsidRPr="00894F63">
              <w:rPr>
                <w:rFonts w:ascii="Arial" w:hAnsi="Arial" w:cs="Arial"/>
                <w:b/>
                <w:color w:val="000000"/>
                <w:lang w:eastAsia="en-AU"/>
              </w:rPr>
              <w:t>Deliverable</w:t>
            </w:r>
          </w:p>
        </w:tc>
        <w:tc>
          <w:tcPr>
            <w:tcW w:w="3266" w:type="dxa"/>
            <w:vAlign w:val="center"/>
          </w:tcPr>
          <w:p w:rsidR="00546461" w:rsidRPr="00894F63" w:rsidRDefault="00546461" w:rsidP="00060D9B">
            <w:pPr>
              <w:pStyle w:val="ListParagraph"/>
              <w:autoSpaceDE w:val="0"/>
              <w:autoSpaceDN w:val="0"/>
              <w:adjustRightInd w:val="0"/>
              <w:ind w:left="0"/>
              <w:rPr>
                <w:rFonts w:ascii="Arial" w:hAnsi="Arial" w:cs="Arial"/>
                <w:b/>
                <w:color w:val="000000"/>
                <w:lang w:eastAsia="en-AU"/>
              </w:rPr>
            </w:pPr>
            <w:r w:rsidRPr="00894F63">
              <w:rPr>
                <w:rFonts w:ascii="Arial" w:hAnsi="Arial" w:cs="Arial"/>
                <w:b/>
                <w:color w:val="000000"/>
                <w:lang w:eastAsia="en-AU"/>
              </w:rPr>
              <w:t>Demonstrating deliverable is complete</w:t>
            </w:r>
          </w:p>
        </w:tc>
        <w:tc>
          <w:tcPr>
            <w:tcW w:w="2564" w:type="dxa"/>
            <w:vAlign w:val="center"/>
          </w:tcPr>
          <w:p w:rsidR="00546461" w:rsidRPr="00894F63" w:rsidRDefault="00546461" w:rsidP="00060D9B">
            <w:pPr>
              <w:pStyle w:val="ListParagraph"/>
              <w:autoSpaceDE w:val="0"/>
              <w:autoSpaceDN w:val="0"/>
              <w:adjustRightInd w:val="0"/>
              <w:ind w:left="0"/>
              <w:rPr>
                <w:rFonts w:ascii="Arial" w:hAnsi="Arial" w:cs="Arial"/>
                <w:b/>
                <w:color w:val="000000"/>
                <w:lang w:eastAsia="en-AU"/>
              </w:rPr>
            </w:pPr>
            <w:r w:rsidRPr="00894F63">
              <w:rPr>
                <w:rFonts w:ascii="Arial" w:hAnsi="Arial" w:cs="Arial"/>
                <w:b/>
                <w:color w:val="000000"/>
                <w:lang w:eastAsia="en-AU"/>
              </w:rPr>
              <w:t>Due date</w:t>
            </w:r>
          </w:p>
        </w:tc>
      </w:tr>
      <w:tr w:rsidR="00546461" w:rsidTr="00060D9B">
        <w:trPr>
          <w:trHeight w:val="1294"/>
        </w:trPr>
        <w:tc>
          <w:tcPr>
            <w:tcW w:w="3547" w:type="dxa"/>
            <w:vAlign w:val="center"/>
          </w:tcPr>
          <w:p w:rsidR="00546461" w:rsidRPr="00060D9B" w:rsidRDefault="00917992" w:rsidP="00060D9B">
            <w:pPr>
              <w:autoSpaceDE w:val="0"/>
              <w:autoSpaceDN w:val="0"/>
              <w:adjustRightInd w:val="0"/>
              <w:rPr>
                <w:rFonts w:ascii="Arial" w:hAnsi="Arial" w:cs="Arial"/>
                <w:lang w:eastAsia="en-AU"/>
              </w:rPr>
            </w:pPr>
            <w:r w:rsidRPr="00917992">
              <w:rPr>
                <w:rFonts w:ascii="Arial" w:hAnsi="Arial" w:cs="Arial"/>
              </w:rPr>
              <w:t>A short</w:t>
            </w:r>
            <w:r w:rsidR="003B5849" w:rsidRPr="00917992">
              <w:rPr>
                <w:rFonts w:ascii="Arial" w:hAnsi="Arial" w:cs="Arial"/>
              </w:rPr>
              <w:t xml:space="preserve"> biography and </w:t>
            </w:r>
            <w:r>
              <w:rPr>
                <w:rFonts w:ascii="Arial" w:hAnsi="Arial" w:cs="Arial"/>
              </w:rPr>
              <w:t xml:space="preserve">basic </w:t>
            </w:r>
            <w:r w:rsidR="003B5849" w:rsidRPr="00917992">
              <w:rPr>
                <w:rFonts w:ascii="Arial" w:hAnsi="Arial" w:cs="Arial"/>
              </w:rPr>
              <w:t xml:space="preserve">summary of the project </w:t>
            </w:r>
            <w:r w:rsidRPr="00917992">
              <w:rPr>
                <w:rFonts w:ascii="Arial" w:hAnsi="Arial" w:cs="Arial"/>
              </w:rPr>
              <w:t>with</w:t>
            </w:r>
            <w:r w:rsidR="003B5849" w:rsidRPr="00917992">
              <w:rPr>
                <w:rFonts w:ascii="Arial" w:hAnsi="Arial" w:cs="Arial"/>
              </w:rPr>
              <w:t xml:space="preserve"> an electronic photograph for use on the OWSR website and in OWSR publications and communications.</w:t>
            </w:r>
          </w:p>
        </w:tc>
        <w:tc>
          <w:tcPr>
            <w:tcW w:w="3266" w:type="dxa"/>
            <w:vAlign w:val="center"/>
          </w:tcPr>
          <w:p w:rsidR="00546461" w:rsidRPr="00894F63" w:rsidRDefault="003B5849" w:rsidP="00060D9B">
            <w:pPr>
              <w:pStyle w:val="ListParagraph"/>
              <w:autoSpaceDE w:val="0"/>
              <w:autoSpaceDN w:val="0"/>
              <w:adjustRightInd w:val="0"/>
              <w:ind w:left="0"/>
              <w:rPr>
                <w:rFonts w:ascii="Arial" w:hAnsi="Arial" w:cs="Arial"/>
                <w:color w:val="000000"/>
                <w:lang w:eastAsia="en-AU"/>
              </w:rPr>
            </w:pPr>
            <w:r w:rsidRPr="00894F63">
              <w:rPr>
                <w:rFonts w:ascii="Arial" w:hAnsi="Arial" w:cs="Arial"/>
                <w:color w:val="000000"/>
                <w:lang w:eastAsia="en-AU"/>
              </w:rPr>
              <w:t xml:space="preserve">Received </w:t>
            </w:r>
            <w:r w:rsidR="00917992">
              <w:rPr>
                <w:rFonts w:ascii="Arial" w:hAnsi="Arial" w:cs="Arial"/>
                <w:color w:val="000000"/>
                <w:lang w:eastAsia="en-AU"/>
              </w:rPr>
              <w:t xml:space="preserve">and approved </w:t>
            </w:r>
            <w:r w:rsidRPr="00894F63">
              <w:rPr>
                <w:rFonts w:ascii="Arial" w:hAnsi="Arial" w:cs="Arial"/>
                <w:color w:val="000000"/>
                <w:lang w:eastAsia="en-AU"/>
              </w:rPr>
              <w:t xml:space="preserve">by </w:t>
            </w:r>
            <w:r w:rsidR="00917992">
              <w:rPr>
                <w:rFonts w:ascii="Arial" w:hAnsi="Arial" w:cs="Arial"/>
                <w:color w:val="000000"/>
                <w:lang w:eastAsia="en-AU"/>
              </w:rPr>
              <w:t xml:space="preserve">the </w:t>
            </w:r>
            <w:r w:rsidRPr="00894F63">
              <w:rPr>
                <w:rFonts w:ascii="Arial" w:hAnsi="Arial" w:cs="Arial"/>
                <w:color w:val="000000"/>
                <w:lang w:eastAsia="en-AU"/>
              </w:rPr>
              <w:t>OWSR</w:t>
            </w:r>
          </w:p>
        </w:tc>
        <w:tc>
          <w:tcPr>
            <w:tcW w:w="2564" w:type="dxa"/>
            <w:vAlign w:val="center"/>
          </w:tcPr>
          <w:p w:rsidR="00546461" w:rsidRPr="00894F63" w:rsidRDefault="003B5849" w:rsidP="00060D9B">
            <w:pPr>
              <w:pStyle w:val="ListParagraph"/>
              <w:autoSpaceDE w:val="0"/>
              <w:autoSpaceDN w:val="0"/>
              <w:adjustRightInd w:val="0"/>
              <w:ind w:left="0"/>
              <w:rPr>
                <w:rFonts w:ascii="Arial" w:hAnsi="Arial" w:cs="Arial"/>
                <w:color w:val="000000"/>
                <w:lang w:eastAsia="en-AU"/>
              </w:rPr>
            </w:pPr>
            <w:r w:rsidRPr="00894F63">
              <w:rPr>
                <w:rFonts w:ascii="Arial" w:hAnsi="Arial" w:cs="Arial"/>
                <w:color w:val="000000"/>
                <w:lang w:eastAsia="en-AU"/>
              </w:rPr>
              <w:t>2 weeks from acceptance of grant</w:t>
            </w:r>
          </w:p>
        </w:tc>
      </w:tr>
      <w:tr w:rsidR="00546461" w:rsidTr="00060D9B">
        <w:trPr>
          <w:trHeight w:val="1270"/>
        </w:trPr>
        <w:tc>
          <w:tcPr>
            <w:tcW w:w="3547" w:type="dxa"/>
            <w:vAlign w:val="center"/>
          </w:tcPr>
          <w:p w:rsidR="00546461" w:rsidRPr="00894F63" w:rsidRDefault="003B5849" w:rsidP="00060D9B">
            <w:pPr>
              <w:autoSpaceDE w:val="0"/>
              <w:autoSpaceDN w:val="0"/>
              <w:adjustRightInd w:val="0"/>
              <w:rPr>
                <w:rFonts w:ascii="Arial" w:hAnsi="Arial" w:cs="Arial"/>
                <w:color w:val="000000"/>
                <w:lang w:eastAsia="en-AU"/>
              </w:rPr>
            </w:pPr>
            <w:r w:rsidRPr="00894F63">
              <w:rPr>
                <w:rFonts w:ascii="Arial" w:hAnsi="Arial" w:cs="Arial"/>
                <w:color w:val="000000"/>
                <w:lang w:eastAsia="en-AU"/>
              </w:rPr>
              <w:t>A progress report outlining the project</w:t>
            </w:r>
            <w:r w:rsidR="007A7959">
              <w:rPr>
                <w:rFonts w:ascii="Arial" w:hAnsi="Arial" w:cs="Arial"/>
                <w:color w:val="000000"/>
                <w:lang w:eastAsia="en-AU"/>
              </w:rPr>
              <w:t>’</w:t>
            </w:r>
            <w:r w:rsidRPr="00894F63">
              <w:rPr>
                <w:rFonts w:ascii="Arial" w:hAnsi="Arial" w:cs="Arial"/>
                <w:color w:val="000000"/>
                <w:lang w:eastAsia="en-AU"/>
              </w:rPr>
              <w:t>s development</w:t>
            </w:r>
          </w:p>
        </w:tc>
        <w:tc>
          <w:tcPr>
            <w:tcW w:w="3266" w:type="dxa"/>
            <w:vAlign w:val="center"/>
          </w:tcPr>
          <w:p w:rsidR="00546461" w:rsidRPr="00894F63" w:rsidRDefault="00060D9B" w:rsidP="00060D9B">
            <w:pPr>
              <w:pStyle w:val="ListParagraph"/>
              <w:autoSpaceDE w:val="0"/>
              <w:autoSpaceDN w:val="0"/>
              <w:adjustRightInd w:val="0"/>
              <w:ind w:left="0"/>
              <w:rPr>
                <w:rFonts w:ascii="Arial" w:hAnsi="Arial" w:cs="Arial"/>
                <w:color w:val="000000"/>
                <w:lang w:eastAsia="en-AU"/>
              </w:rPr>
            </w:pPr>
            <w:r>
              <w:rPr>
                <w:rFonts w:ascii="Arial" w:hAnsi="Arial" w:cs="Arial"/>
                <w:color w:val="000000"/>
                <w:lang w:eastAsia="en-AU"/>
              </w:rPr>
              <w:t>Pr</w:t>
            </w:r>
            <w:r w:rsidR="003B5849" w:rsidRPr="00894F63">
              <w:rPr>
                <w:rFonts w:ascii="Arial" w:hAnsi="Arial" w:cs="Arial"/>
                <w:color w:val="000000"/>
                <w:lang w:eastAsia="en-AU"/>
              </w:rPr>
              <w:t xml:space="preserve">ogress report received and approved by </w:t>
            </w:r>
            <w:r w:rsidR="00917992">
              <w:rPr>
                <w:rFonts w:ascii="Arial" w:hAnsi="Arial" w:cs="Arial"/>
                <w:color w:val="000000"/>
                <w:lang w:eastAsia="en-AU"/>
              </w:rPr>
              <w:t xml:space="preserve">the </w:t>
            </w:r>
            <w:r w:rsidR="003B5849" w:rsidRPr="00894F63">
              <w:rPr>
                <w:rFonts w:ascii="Arial" w:hAnsi="Arial" w:cs="Arial"/>
                <w:color w:val="000000"/>
                <w:lang w:eastAsia="en-AU"/>
              </w:rPr>
              <w:t>OWSR</w:t>
            </w:r>
          </w:p>
        </w:tc>
        <w:tc>
          <w:tcPr>
            <w:tcW w:w="2564" w:type="dxa"/>
            <w:vAlign w:val="center"/>
          </w:tcPr>
          <w:p w:rsidR="00917992" w:rsidRPr="00894F63" w:rsidRDefault="00917992" w:rsidP="00060D9B">
            <w:pPr>
              <w:autoSpaceDE w:val="0"/>
              <w:autoSpaceDN w:val="0"/>
              <w:adjustRightInd w:val="0"/>
              <w:rPr>
                <w:rFonts w:ascii="Arial" w:hAnsi="Arial" w:cs="Arial"/>
                <w:color w:val="000000"/>
                <w:lang w:eastAsia="en-AU"/>
              </w:rPr>
            </w:pPr>
            <w:r>
              <w:rPr>
                <w:rFonts w:ascii="Arial" w:hAnsi="Arial" w:cs="Arial"/>
                <w:color w:val="000000"/>
                <w:lang w:eastAsia="en-AU"/>
              </w:rPr>
              <w:t>E</w:t>
            </w:r>
            <w:r w:rsidR="003B5849" w:rsidRPr="00894F63">
              <w:rPr>
                <w:rFonts w:ascii="Arial" w:hAnsi="Arial" w:cs="Arial"/>
                <w:color w:val="000000"/>
                <w:lang w:eastAsia="en-AU"/>
              </w:rPr>
              <w:t xml:space="preserve">very </w:t>
            </w:r>
            <w:r w:rsidR="00066E67">
              <w:rPr>
                <w:rFonts w:ascii="Arial" w:hAnsi="Arial" w:cs="Arial"/>
                <w:color w:val="000000"/>
                <w:lang w:eastAsia="en-AU"/>
              </w:rPr>
              <w:t>3</w:t>
            </w:r>
            <w:r w:rsidR="003B5849" w:rsidRPr="00894F63">
              <w:rPr>
                <w:rFonts w:ascii="Arial" w:hAnsi="Arial" w:cs="Arial"/>
                <w:color w:val="000000"/>
                <w:lang w:eastAsia="en-AU"/>
              </w:rPr>
              <w:t xml:space="preserve"> months</w:t>
            </w:r>
            <w:r>
              <w:rPr>
                <w:rFonts w:ascii="Arial" w:hAnsi="Arial" w:cs="Arial"/>
                <w:color w:val="000000"/>
                <w:lang w:eastAsia="en-AU"/>
              </w:rPr>
              <w:t xml:space="preserve"> from the notification of award, unless alternative agreements have been made.</w:t>
            </w:r>
          </w:p>
        </w:tc>
      </w:tr>
      <w:tr w:rsidR="00546461" w:rsidTr="00060D9B">
        <w:trPr>
          <w:trHeight w:val="551"/>
        </w:trPr>
        <w:tc>
          <w:tcPr>
            <w:tcW w:w="3547" w:type="dxa"/>
            <w:vAlign w:val="center"/>
          </w:tcPr>
          <w:p w:rsidR="00546461" w:rsidRPr="00060D9B" w:rsidRDefault="003B5849" w:rsidP="00060D9B">
            <w:pPr>
              <w:pStyle w:val="Default"/>
              <w:spacing w:after="221"/>
              <w:rPr>
                <w:rFonts w:ascii="Arial" w:hAnsi="Arial" w:cs="Arial"/>
                <w:sz w:val="20"/>
                <w:szCs w:val="20"/>
              </w:rPr>
            </w:pPr>
            <w:r w:rsidRPr="006F3A21">
              <w:rPr>
                <w:rFonts w:ascii="Arial" w:hAnsi="Arial" w:cs="Arial"/>
                <w:sz w:val="20"/>
                <w:szCs w:val="20"/>
              </w:rPr>
              <w:t>Proof of ethics approval (if required)</w:t>
            </w:r>
          </w:p>
        </w:tc>
        <w:tc>
          <w:tcPr>
            <w:tcW w:w="3266" w:type="dxa"/>
            <w:vAlign w:val="center"/>
          </w:tcPr>
          <w:p w:rsidR="00546461" w:rsidRPr="00894F63" w:rsidRDefault="003C1731" w:rsidP="00060D9B">
            <w:pPr>
              <w:pStyle w:val="ListParagraph"/>
              <w:autoSpaceDE w:val="0"/>
              <w:autoSpaceDN w:val="0"/>
              <w:adjustRightInd w:val="0"/>
              <w:ind w:left="0"/>
              <w:rPr>
                <w:rFonts w:ascii="Arial" w:hAnsi="Arial" w:cs="Arial"/>
                <w:color w:val="000000"/>
                <w:lang w:eastAsia="en-AU"/>
              </w:rPr>
            </w:pPr>
            <w:r>
              <w:rPr>
                <w:rFonts w:ascii="Arial" w:hAnsi="Arial" w:cs="Arial"/>
                <w:color w:val="000000"/>
                <w:lang w:eastAsia="en-AU"/>
              </w:rPr>
              <w:t>Proof of ethics approval received by the OWSR.</w:t>
            </w:r>
          </w:p>
        </w:tc>
        <w:tc>
          <w:tcPr>
            <w:tcW w:w="2564" w:type="dxa"/>
            <w:vAlign w:val="center"/>
          </w:tcPr>
          <w:p w:rsidR="00546461" w:rsidRPr="00894F63" w:rsidRDefault="00546461" w:rsidP="00060D9B">
            <w:pPr>
              <w:pStyle w:val="ListParagraph"/>
              <w:autoSpaceDE w:val="0"/>
              <w:autoSpaceDN w:val="0"/>
              <w:adjustRightInd w:val="0"/>
              <w:ind w:left="0"/>
              <w:rPr>
                <w:rFonts w:ascii="Arial" w:hAnsi="Arial" w:cs="Arial"/>
                <w:color w:val="000000"/>
                <w:lang w:eastAsia="en-AU"/>
              </w:rPr>
            </w:pPr>
          </w:p>
        </w:tc>
      </w:tr>
      <w:tr w:rsidR="00546461" w:rsidTr="00060D9B">
        <w:trPr>
          <w:trHeight w:val="818"/>
        </w:trPr>
        <w:tc>
          <w:tcPr>
            <w:tcW w:w="3547" w:type="dxa"/>
            <w:vAlign w:val="center"/>
          </w:tcPr>
          <w:p w:rsidR="00917992" w:rsidRDefault="00917992" w:rsidP="00060D9B">
            <w:pPr>
              <w:autoSpaceDE w:val="0"/>
              <w:autoSpaceDN w:val="0"/>
              <w:adjustRightInd w:val="0"/>
              <w:rPr>
                <w:rFonts w:ascii="Arial" w:hAnsi="Arial" w:cs="Arial"/>
                <w:color w:val="000000"/>
                <w:lang w:eastAsia="en-AU"/>
              </w:rPr>
            </w:pPr>
          </w:p>
          <w:p w:rsidR="003B5849" w:rsidRPr="00894F63" w:rsidRDefault="003B5849" w:rsidP="00060D9B">
            <w:pPr>
              <w:autoSpaceDE w:val="0"/>
              <w:autoSpaceDN w:val="0"/>
              <w:adjustRightInd w:val="0"/>
              <w:rPr>
                <w:rFonts w:ascii="Arial" w:hAnsi="Arial" w:cs="Arial"/>
                <w:color w:val="000000"/>
                <w:lang w:eastAsia="en-AU"/>
              </w:rPr>
            </w:pPr>
            <w:r w:rsidRPr="00894F63">
              <w:rPr>
                <w:rFonts w:ascii="Arial" w:hAnsi="Arial" w:cs="Arial"/>
                <w:color w:val="000000"/>
                <w:lang w:eastAsia="en-AU"/>
              </w:rPr>
              <w:t>Final research report</w:t>
            </w:r>
          </w:p>
          <w:p w:rsidR="00546461" w:rsidRPr="00894F63" w:rsidRDefault="00546461" w:rsidP="00060D9B">
            <w:pPr>
              <w:pStyle w:val="ListParagraph"/>
              <w:autoSpaceDE w:val="0"/>
              <w:autoSpaceDN w:val="0"/>
              <w:adjustRightInd w:val="0"/>
              <w:ind w:left="0"/>
              <w:rPr>
                <w:rFonts w:ascii="Arial" w:hAnsi="Arial" w:cs="Arial"/>
                <w:color w:val="000000"/>
                <w:lang w:eastAsia="en-AU"/>
              </w:rPr>
            </w:pPr>
          </w:p>
        </w:tc>
        <w:tc>
          <w:tcPr>
            <w:tcW w:w="3266" w:type="dxa"/>
            <w:vAlign w:val="center"/>
          </w:tcPr>
          <w:p w:rsidR="00546461" w:rsidRPr="00894F63" w:rsidRDefault="003B5849" w:rsidP="00060D9B">
            <w:pPr>
              <w:pStyle w:val="ListParagraph"/>
              <w:autoSpaceDE w:val="0"/>
              <w:autoSpaceDN w:val="0"/>
              <w:adjustRightInd w:val="0"/>
              <w:ind w:left="0"/>
              <w:rPr>
                <w:rFonts w:ascii="Arial" w:hAnsi="Arial" w:cs="Arial"/>
                <w:color w:val="000000"/>
                <w:lang w:eastAsia="en-AU"/>
              </w:rPr>
            </w:pPr>
            <w:r w:rsidRPr="00894F63">
              <w:rPr>
                <w:rFonts w:ascii="Arial" w:hAnsi="Arial" w:cs="Arial"/>
                <w:color w:val="000000"/>
                <w:lang w:eastAsia="en-AU"/>
              </w:rPr>
              <w:t>This may be used by OWSR for publication on our website.</w:t>
            </w:r>
          </w:p>
        </w:tc>
        <w:tc>
          <w:tcPr>
            <w:tcW w:w="2564" w:type="dxa"/>
            <w:vAlign w:val="center"/>
          </w:tcPr>
          <w:p w:rsidR="00546461" w:rsidRPr="00894F63" w:rsidRDefault="003C1731" w:rsidP="00060D9B">
            <w:pPr>
              <w:pStyle w:val="ListParagraph"/>
              <w:autoSpaceDE w:val="0"/>
              <w:autoSpaceDN w:val="0"/>
              <w:adjustRightInd w:val="0"/>
              <w:ind w:left="0"/>
              <w:rPr>
                <w:rFonts w:ascii="Arial" w:hAnsi="Arial" w:cs="Arial"/>
                <w:color w:val="000000"/>
                <w:lang w:eastAsia="en-AU"/>
              </w:rPr>
            </w:pPr>
            <w:r>
              <w:rPr>
                <w:rFonts w:ascii="Arial" w:hAnsi="Arial" w:cs="Arial"/>
                <w:color w:val="000000"/>
                <w:lang w:eastAsia="en-AU"/>
              </w:rPr>
              <w:t>W</w:t>
            </w:r>
            <w:r w:rsidR="003B5849" w:rsidRPr="00894F63">
              <w:rPr>
                <w:rFonts w:ascii="Arial" w:hAnsi="Arial" w:cs="Arial"/>
                <w:color w:val="000000"/>
                <w:lang w:eastAsia="en-AU"/>
              </w:rPr>
              <w:t>ithin 3 months from the date of project completion.</w:t>
            </w:r>
          </w:p>
        </w:tc>
      </w:tr>
    </w:tbl>
    <w:p w:rsidR="001F5F0D" w:rsidRPr="001F5F0D" w:rsidRDefault="001F5F0D" w:rsidP="001F5F0D">
      <w:pPr>
        <w:pStyle w:val="Default"/>
        <w:rPr>
          <w:highlight w:val="yellow"/>
        </w:rPr>
      </w:pPr>
    </w:p>
    <w:p w:rsidR="00BC5A0D" w:rsidRPr="009801C1" w:rsidRDefault="00E00102" w:rsidP="00E00102">
      <w:pPr>
        <w:pStyle w:val="Heading4"/>
      </w:pPr>
      <w:r>
        <w:lastRenderedPageBreak/>
        <w:t>Additional conditions of funding</w:t>
      </w:r>
    </w:p>
    <w:p w:rsidR="003826E9" w:rsidRPr="003826E9" w:rsidRDefault="00E00102" w:rsidP="000D5EC7">
      <w:pPr>
        <w:pStyle w:val="DHHSbullet1"/>
        <w:numPr>
          <w:ilvl w:val="0"/>
          <w:numId w:val="43"/>
        </w:numPr>
      </w:pPr>
      <w:r>
        <w:t>G</w:t>
      </w:r>
      <w:r w:rsidR="003826E9" w:rsidRPr="003826E9">
        <w:t xml:space="preserve">rant recipients must adhere to the </w:t>
      </w:r>
      <w:hyperlink r:id="rId16" w:history="1">
        <w:r w:rsidR="003826E9" w:rsidRPr="003826E9">
          <w:rPr>
            <w:rStyle w:val="Hyperlink"/>
          </w:rPr>
          <w:t>Fair Play Code</w:t>
        </w:r>
      </w:hyperlink>
      <w:r w:rsidR="003826E9" w:rsidRPr="003826E9">
        <w:t xml:space="preserve"> (formerly </w:t>
      </w:r>
      <w:r w:rsidR="003826E9" w:rsidRPr="000D5EC7">
        <w:rPr>
          <w:i/>
        </w:rPr>
        <w:t>Victorian Code of Conduct for Community Sport)</w:t>
      </w:r>
      <w:r w:rsidR="003826E9" w:rsidRPr="003826E9">
        <w:t xml:space="preserve"> &lt;http://www.sport.vic.gov.au/publications-and-resources/community-sport-resources/fair-play-code&gt; and comply with the expectations of the </w:t>
      </w:r>
      <w:hyperlink r:id="rId17" w:history="1">
        <w:r w:rsidR="003826E9" w:rsidRPr="000D5EC7">
          <w:rPr>
            <w:rStyle w:val="Hyperlink"/>
            <w:i/>
          </w:rPr>
          <w:t>Victorian Anti-doping Policy 2012</w:t>
        </w:r>
      </w:hyperlink>
      <w:r w:rsidR="003826E9" w:rsidRPr="000D5EC7">
        <w:rPr>
          <w:i/>
        </w:rPr>
        <w:t xml:space="preserve"> </w:t>
      </w:r>
      <w:r w:rsidR="003826E9" w:rsidRPr="003826E9">
        <w:t xml:space="preserve">&lt;http://www.sport.vic.gov.au/victorian-anti-doping-policy-2012&gt; </w:t>
      </w:r>
    </w:p>
    <w:p w:rsidR="003826E9" w:rsidRPr="003826E9" w:rsidRDefault="00146676" w:rsidP="003826E9">
      <w:pPr>
        <w:pStyle w:val="DHHSbullet1"/>
      </w:pPr>
      <w:r>
        <w:t>Funding must be spent within 18 months of receiving the grant</w:t>
      </w:r>
      <w:r w:rsidR="00066E67">
        <w:t>, however in exceptional circumstances funding timelines can be negotiated with the department. A</w:t>
      </w:r>
      <w:r w:rsidR="003826E9" w:rsidRPr="003826E9">
        <w:t xml:space="preserve">ny unspent funds </w:t>
      </w:r>
      <w:r>
        <w:t xml:space="preserve">at the completion on the project </w:t>
      </w:r>
      <w:r w:rsidR="003826E9" w:rsidRPr="003826E9">
        <w:t xml:space="preserve">must be returned to the Department of </w:t>
      </w:r>
      <w:r w:rsidR="00FE50A8">
        <w:t>Jobs, Precincts and Regions</w:t>
      </w:r>
      <w:r w:rsidR="003826E9" w:rsidRPr="003826E9">
        <w:t>.</w:t>
      </w:r>
    </w:p>
    <w:p w:rsidR="003826E9" w:rsidRPr="003826E9" w:rsidRDefault="00A21B3B" w:rsidP="003826E9">
      <w:pPr>
        <w:pStyle w:val="DHHSbullet1"/>
      </w:pPr>
      <w:r>
        <w:t>F</w:t>
      </w:r>
      <w:r w:rsidR="003826E9" w:rsidRPr="003826E9">
        <w:t xml:space="preserve">unds must be spent on the </w:t>
      </w:r>
      <w:r w:rsidR="003826E9">
        <w:t>activity</w:t>
      </w:r>
      <w:r w:rsidR="003826E9" w:rsidRPr="003826E9">
        <w:t xml:space="preserve"> as described in the application. Any proposed variation to the approved </w:t>
      </w:r>
      <w:r w:rsidR="00FA77D7">
        <w:t>activity</w:t>
      </w:r>
      <w:r w:rsidR="003826E9" w:rsidRPr="003826E9">
        <w:t xml:space="preserve"> must be submitted to Department of </w:t>
      </w:r>
      <w:r w:rsidR="00146676">
        <w:t>Jobs, Precincts and Regions</w:t>
      </w:r>
      <w:r w:rsidR="003826E9" w:rsidRPr="003826E9">
        <w:t xml:space="preserve"> for approval prior to implementation.</w:t>
      </w:r>
    </w:p>
    <w:p w:rsidR="003826E9" w:rsidRDefault="00A21B3B" w:rsidP="003826E9">
      <w:pPr>
        <w:pStyle w:val="DHHSbullet1"/>
      </w:pPr>
      <w:r>
        <w:t>G</w:t>
      </w:r>
      <w:r w:rsidR="003826E9" w:rsidRPr="003826E9">
        <w:t>rants to organisations not registered for GST will be made exclusive of GST.</w:t>
      </w:r>
    </w:p>
    <w:p w:rsidR="000D5EC7" w:rsidRDefault="00A21B3B" w:rsidP="000D5EC7">
      <w:pPr>
        <w:pStyle w:val="DHHSbullet1"/>
      </w:pPr>
      <w:r>
        <w:t>F</w:t>
      </w:r>
      <w:r w:rsidR="003826E9" w:rsidRPr="003826E9">
        <w:t>unded recipients, and partners agree to engage in any process undertaken to facilitate sharing of project objectives and initiatives to identify mutually beneficial strategies</w:t>
      </w:r>
      <w:r w:rsidR="00FA77D7">
        <w:t>.</w:t>
      </w:r>
    </w:p>
    <w:p w:rsidR="000A4D21" w:rsidRPr="00EB64E7" w:rsidRDefault="000D5EC7" w:rsidP="000A4D21">
      <w:pPr>
        <w:pStyle w:val="Heading2"/>
      </w:pPr>
      <w:bookmarkStart w:id="55" w:name="_Toc508709310"/>
      <w:bookmarkStart w:id="56" w:name="_Toc509417040"/>
      <w:bookmarkStart w:id="57" w:name="_Toc518376418"/>
      <w:bookmarkStart w:id="58" w:name="_Toc168614"/>
      <w:r>
        <w:t>7.3. A</w:t>
      </w:r>
      <w:r w:rsidR="000A4D21" w:rsidRPr="00EB64E7">
        <w:t>cknowledging the Victorian Government’s support and promoting success</w:t>
      </w:r>
      <w:bookmarkEnd w:id="55"/>
      <w:bookmarkEnd w:id="56"/>
      <w:bookmarkEnd w:id="57"/>
      <w:bookmarkEnd w:id="58"/>
    </w:p>
    <w:p w:rsidR="000A4D21" w:rsidRPr="00EB64E7" w:rsidRDefault="000A4D21" w:rsidP="000A4D21">
      <w:pPr>
        <w:pStyle w:val="DHHSbody"/>
      </w:pPr>
      <w:r w:rsidRPr="00EB64E7">
        <w:t xml:space="preserve">Successful applicants need to acknowledge the Victorian Government’s support through the provision of a grant from the </w:t>
      </w:r>
      <w:r w:rsidRPr="00BC4188">
        <w:t xml:space="preserve">Change Our Game </w:t>
      </w:r>
      <w:r w:rsidR="00470867" w:rsidRPr="00BC4188">
        <w:t>Research Grant</w:t>
      </w:r>
      <w:r w:rsidRPr="00BC4188">
        <w:t xml:space="preserve"> Program.</w:t>
      </w:r>
      <w:r w:rsidRPr="00EB64E7">
        <w:t xml:space="preserve"> Promotional guidelines form part of the funding agreement and include the requirement that all activities acknowledge Victorian Government support through logo presentation on any activity related publications, media releases and promotional material.</w:t>
      </w:r>
    </w:p>
    <w:p w:rsidR="000A4D21" w:rsidRDefault="000A4D21" w:rsidP="000A4D21">
      <w:pPr>
        <w:pStyle w:val="DHHSbody"/>
      </w:pPr>
      <w:r w:rsidRPr="00EB64E7">
        <w:t>Successful applicants may be required to contribute information on activity outcomes for use in the department’s marketing materials.</w:t>
      </w:r>
      <w:bookmarkStart w:id="59" w:name="_Toc434840977"/>
      <w:bookmarkStart w:id="60" w:name="_Toc506193412"/>
      <w:bookmarkStart w:id="61" w:name="_Toc506563991"/>
    </w:p>
    <w:p w:rsidR="000A4D21" w:rsidRPr="00EB64E7" w:rsidRDefault="000A4D21" w:rsidP="000A4D21">
      <w:pPr>
        <w:pStyle w:val="Heading2"/>
      </w:pPr>
      <w:bookmarkStart w:id="62" w:name="_Toc509417041"/>
      <w:bookmarkStart w:id="63" w:name="_Toc518376419"/>
      <w:bookmarkStart w:id="64" w:name="_Toc168615"/>
      <w:bookmarkEnd w:id="59"/>
      <w:bookmarkEnd w:id="60"/>
      <w:bookmarkEnd w:id="61"/>
      <w:r w:rsidRPr="00EB64E7">
        <w:t>7.4. Payments</w:t>
      </w:r>
      <w:bookmarkEnd w:id="62"/>
      <w:bookmarkEnd w:id="63"/>
      <w:bookmarkEnd w:id="64"/>
    </w:p>
    <w:p w:rsidR="000A4D21" w:rsidRPr="00EB64E7" w:rsidRDefault="001B5688" w:rsidP="000A4D21">
      <w:pPr>
        <w:pStyle w:val="DHHSbody"/>
      </w:pPr>
      <w:r>
        <w:t>For amounts of $10,000 or less, 100% of p</w:t>
      </w:r>
      <w:r w:rsidR="000A4D21" w:rsidRPr="00EB64E7">
        <w:t>ayments will be paid upfront to the organisation.</w:t>
      </w:r>
      <w:r w:rsidR="000A4D21">
        <w:t xml:space="preserve"> </w:t>
      </w:r>
      <w:bookmarkStart w:id="65" w:name="_Toc434840978"/>
      <w:bookmarkStart w:id="66" w:name="_Toc506193413"/>
      <w:bookmarkStart w:id="67" w:name="_Toc506563992"/>
      <w:r w:rsidR="00B74285">
        <w:t xml:space="preserve">For payments between $10,000 and $25,000, 85% of the total amount will be paid upfront with the final 15% to be paid on completion of the research. </w:t>
      </w:r>
      <w:r w:rsidR="000A4D21" w:rsidRPr="00EB64E7">
        <w:t>After 1</w:t>
      </w:r>
      <w:r w:rsidR="00470867">
        <w:t>8</w:t>
      </w:r>
      <w:r w:rsidR="000A4D21" w:rsidRPr="00EB64E7">
        <w:t xml:space="preserve"> months from receiving the funding, any unspent funds must be returned to the Department </w:t>
      </w:r>
      <w:r w:rsidR="00470867">
        <w:t>of Jobs, Precincts and Regions</w:t>
      </w:r>
      <w:r w:rsidR="000A4D21" w:rsidRPr="00EB64E7">
        <w:t>.</w:t>
      </w:r>
    </w:p>
    <w:p w:rsidR="000A4D21" w:rsidRPr="00EB64E7" w:rsidRDefault="000A4D21" w:rsidP="000A4D21">
      <w:pPr>
        <w:pStyle w:val="Heading2"/>
      </w:pPr>
      <w:bookmarkStart w:id="68" w:name="_Toc509417042"/>
      <w:bookmarkStart w:id="69" w:name="_Toc518376420"/>
      <w:bookmarkStart w:id="70" w:name="_Toc168616"/>
      <w:bookmarkEnd w:id="65"/>
      <w:bookmarkEnd w:id="66"/>
      <w:bookmarkEnd w:id="67"/>
      <w:r w:rsidRPr="00EB64E7">
        <w:t>7.5. Privacy</w:t>
      </w:r>
      <w:bookmarkEnd w:id="68"/>
      <w:bookmarkEnd w:id="69"/>
      <w:bookmarkEnd w:id="70"/>
    </w:p>
    <w:bookmarkEnd w:id="12"/>
    <w:p w:rsidR="00C30A55" w:rsidRPr="007B1EB6" w:rsidRDefault="00C30A55" w:rsidP="00C30A55">
      <w:pPr>
        <w:autoSpaceDE w:val="0"/>
        <w:autoSpaceDN w:val="0"/>
        <w:adjustRightInd w:val="0"/>
        <w:spacing w:after="160" w:line="191" w:lineRule="atLeast"/>
        <w:rPr>
          <w:rFonts w:ascii="Arial" w:hAnsi="Arial" w:cs="Arial"/>
          <w:lang w:eastAsia="en-AU"/>
        </w:rPr>
      </w:pPr>
      <w:r w:rsidRPr="007B1EB6">
        <w:rPr>
          <w:rFonts w:ascii="Arial" w:hAnsi="Arial" w:cs="Arial"/>
          <w:lang w:eastAsia="en-AU"/>
        </w:rPr>
        <w:t xml:space="preserve">The Department of Jobs, Precincts and Regions is committed to protecting your privacy. We collect and handle any personal or health information about you or a third party in your application, </w:t>
      </w:r>
      <w:proofErr w:type="gramStart"/>
      <w:r w:rsidRPr="007B1EB6">
        <w:rPr>
          <w:rFonts w:ascii="Arial" w:hAnsi="Arial" w:cs="Arial"/>
          <w:lang w:eastAsia="en-AU"/>
        </w:rPr>
        <w:t>for the purpose of</w:t>
      </w:r>
      <w:proofErr w:type="gramEnd"/>
      <w:r w:rsidRPr="007B1EB6">
        <w:rPr>
          <w:rFonts w:ascii="Arial" w:hAnsi="Arial" w:cs="Arial"/>
          <w:lang w:eastAsia="en-AU"/>
        </w:rPr>
        <w:t xml:space="preserve"> administering your grant application and informing the public of successful applications. </w:t>
      </w:r>
    </w:p>
    <w:p w:rsidR="00C30A55" w:rsidRPr="007B1EB6" w:rsidRDefault="00C30A55" w:rsidP="00C30A55">
      <w:pPr>
        <w:autoSpaceDE w:val="0"/>
        <w:autoSpaceDN w:val="0"/>
        <w:adjustRightInd w:val="0"/>
        <w:spacing w:after="160" w:line="191" w:lineRule="atLeast"/>
        <w:rPr>
          <w:rFonts w:ascii="Arial" w:hAnsi="Arial" w:cs="Arial"/>
          <w:lang w:eastAsia="en-AU"/>
        </w:rPr>
      </w:pPr>
      <w:proofErr w:type="gramStart"/>
      <w:r w:rsidRPr="007B1EB6">
        <w:rPr>
          <w:rFonts w:ascii="Arial" w:hAnsi="Arial" w:cs="Arial"/>
          <w:lang w:eastAsia="en-AU"/>
        </w:rPr>
        <w:t>In order for</w:t>
      </w:r>
      <w:proofErr w:type="gramEnd"/>
      <w:r w:rsidRPr="007B1EB6">
        <w:rPr>
          <w:rFonts w:ascii="Arial" w:hAnsi="Arial" w:cs="Arial"/>
          <w:lang w:eastAsia="en-AU"/>
        </w:rPr>
        <w:t xml:space="preserve">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rsidR="00C30A55" w:rsidRPr="007B1EB6" w:rsidRDefault="00C30A55" w:rsidP="00C30A55">
      <w:pPr>
        <w:autoSpaceDE w:val="0"/>
        <w:autoSpaceDN w:val="0"/>
        <w:adjustRightInd w:val="0"/>
        <w:spacing w:after="160" w:line="191" w:lineRule="atLeast"/>
        <w:rPr>
          <w:rFonts w:ascii="Arial" w:hAnsi="Arial" w:cs="Arial"/>
          <w:lang w:eastAsia="en-AU"/>
        </w:rPr>
      </w:pPr>
      <w:r w:rsidRPr="007B1EB6">
        <w:rPr>
          <w:rFonts w:ascii="Arial" w:hAnsi="Arial" w:cs="Arial"/>
          <w:lang w:eastAsia="en-AU"/>
        </w:rPr>
        <w:t xml:space="preserve">Any personal information about you or a third party in your correspondence will be collected, held, managed, used, disclosed or transferred in accordance with the provisions of the </w:t>
      </w:r>
      <w:r w:rsidRPr="007B1EB6">
        <w:rPr>
          <w:rFonts w:ascii="Arial" w:hAnsi="Arial" w:cs="Arial"/>
          <w:i/>
          <w:iCs/>
          <w:lang w:eastAsia="en-AU"/>
        </w:rPr>
        <w:t xml:space="preserve">Privacy and Data Protection Act 2014 </w:t>
      </w:r>
      <w:r w:rsidRPr="007B1EB6">
        <w:rPr>
          <w:rFonts w:ascii="Arial" w:hAnsi="Arial" w:cs="Arial"/>
          <w:lang w:eastAsia="en-AU"/>
        </w:rPr>
        <w:t>(Vic) and other applicable laws.</w:t>
      </w:r>
    </w:p>
    <w:p w:rsidR="00C30A55" w:rsidRPr="007B1EB6" w:rsidRDefault="00C30A55" w:rsidP="00C30A55">
      <w:pPr>
        <w:pStyle w:val="DHHSbody"/>
      </w:pPr>
      <w:r w:rsidRPr="007B1EB6">
        <w:t xml:space="preserve">To obtain a copy of the Department of Jobs, Precincts and Regions Privacy Policy, please email </w:t>
      </w:r>
      <w:r>
        <w:t>changeourgame</w:t>
      </w:r>
      <w:r w:rsidRPr="007B1EB6">
        <w:t>@sport.vic.gov.au.</w:t>
      </w:r>
    </w:p>
    <w:p w:rsidR="00C30A55" w:rsidRPr="00C30A55" w:rsidRDefault="00C30A55" w:rsidP="00C30A55">
      <w:pPr>
        <w:pStyle w:val="DHHSbody"/>
      </w:pPr>
      <w:r w:rsidRPr="007B1EB6">
        <w:t>For information about how to access information about you held by the Department of Jobs, Precincts and Regions,</w:t>
      </w:r>
      <w:hyperlink r:id="rId18" w:history="1"/>
      <w:r w:rsidRPr="007B1EB6">
        <w:t xml:space="preserve"> please email </w:t>
      </w:r>
      <w:r>
        <w:t>changeourgame</w:t>
      </w:r>
      <w:r w:rsidRPr="007B1EB6">
        <w:t>@sport.vic.gov.au.</w:t>
      </w:r>
    </w:p>
    <w:p w:rsidR="00C30A55" w:rsidRPr="00E12037" w:rsidRDefault="00C30A55" w:rsidP="00E12037">
      <w:pPr>
        <w:pStyle w:val="Heading1"/>
      </w:pPr>
      <w:bookmarkStart w:id="71" w:name="_Toc533053119"/>
      <w:bookmarkStart w:id="72" w:name="_Toc168617"/>
      <w:r w:rsidRPr="00E12037">
        <w:lastRenderedPageBreak/>
        <w:t>8. Resources and additional information</w:t>
      </w:r>
      <w:bookmarkEnd w:id="71"/>
      <w:bookmarkEnd w:id="72"/>
    </w:p>
    <w:p w:rsidR="00C30A55" w:rsidRPr="003F234B" w:rsidRDefault="00C30A55" w:rsidP="00C30A55">
      <w:pPr>
        <w:pStyle w:val="DHHSbody"/>
        <w:rPr>
          <w:b/>
          <w:lang w:eastAsia="en-AU"/>
        </w:rPr>
      </w:pPr>
      <w:r w:rsidRPr="00943C9D">
        <w:rPr>
          <w:lang w:eastAsia="en-AU"/>
        </w:rPr>
        <w:t>For preliminary information on this or any other grant program please contact the Grants Information Line on 1300 366 356 for the cost of a local call (except from a mobile phone) on any weekday between 8:30am and 5pm (except for public holidays).</w:t>
      </w:r>
      <w:r w:rsidRPr="003F234B" w:rsidDel="00326CA5">
        <w:rPr>
          <w:lang w:eastAsia="en-AU"/>
        </w:rPr>
        <w:t xml:space="preserve"> </w:t>
      </w:r>
    </w:p>
    <w:p w:rsidR="006D360C" w:rsidRPr="003072C6" w:rsidRDefault="006D360C" w:rsidP="00C30A55">
      <w:pPr>
        <w:pStyle w:val="DHHSbody"/>
      </w:pPr>
    </w:p>
    <w:sectPr w:rsidR="006D360C" w:rsidRPr="003072C6" w:rsidSect="00BA5E47">
      <w:headerReference w:type="even" r:id="rId19"/>
      <w:headerReference w:type="default" r:id="rId20"/>
      <w:footerReference w:type="even" r:id="rId21"/>
      <w:footerReference w:type="default" r:id="rId22"/>
      <w:headerReference w:type="first" r:id="rId23"/>
      <w:footerReference w:type="first" r:id="rId2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7B" w:rsidRDefault="00E05E7B">
      <w:r>
        <w:separator/>
      </w:r>
    </w:p>
  </w:endnote>
  <w:endnote w:type="continuationSeparator" w:id="0">
    <w:p w:rsidR="00E05E7B" w:rsidRDefault="00E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CA1486">
      <w:rPr>
        <w:noProof/>
      </w:rPr>
      <w:t>8</w:t>
    </w:r>
    <w:r w:rsidRPr="005A39EC">
      <w:fldChar w:fldCharType="end"/>
    </w:r>
    <w:r>
      <w:tab/>
    </w:r>
    <w:r w:rsidR="000A4D21">
      <w:t xml:space="preserve">Change Our Game </w:t>
    </w:r>
    <w:r w:rsidR="00D80E82">
      <w:t>Research Grant</w:t>
    </w:r>
    <w:r w:rsidR="000A4D21">
      <w:t xml:space="preserve">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31753A" w:rsidRDefault="00D80E82" w:rsidP="00E969B1">
    <w:pPr>
      <w:pStyle w:val="DHHSfooter"/>
    </w:pPr>
    <w:r>
      <w:t>Change Our Game Research Grant Program</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CA1486">
      <w:rPr>
        <w:noProof/>
      </w:rPr>
      <w:t>7</w:t>
    </w:r>
    <w:r w:rsidR="00977C63"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7B" w:rsidRDefault="00E05E7B">
      <w:r>
        <w:separator/>
      </w:r>
    </w:p>
  </w:footnote>
  <w:footnote w:type="continuationSeparator" w:id="0">
    <w:p w:rsidR="00E05E7B" w:rsidRDefault="00E0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Pr="0069374A" w:rsidRDefault="00977C63"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63" w:rsidRDefault="00977C63" w:rsidP="00E969B1">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DE" w:rsidRDefault="003C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093B455C"/>
    <w:multiLevelType w:val="multilevel"/>
    <w:tmpl w:val="14BCF7E4"/>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430501"/>
    <w:multiLevelType w:val="multilevel"/>
    <w:tmpl w:val="59FA2A7C"/>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AEB6A9D"/>
    <w:multiLevelType w:val="hybridMultilevel"/>
    <w:tmpl w:val="15B0748E"/>
    <w:lvl w:ilvl="0" w:tplc="F5F42258">
      <w:start w:val="1"/>
      <w:numFmt w:val="bullet"/>
      <w:lvlText w:val=""/>
      <w:lvlJc w:val="left"/>
      <w:pPr>
        <w:ind w:left="720" w:hanging="360"/>
      </w:pPr>
      <w:rPr>
        <w:rFonts w:ascii="Symbol" w:hAnsi="Symbol" w:hint="default"/>
        <w:color w:val="auto"/>
      </w:rPr>
    </w:lvl>
    <w:lvl w:ilvl="1" w:tplc="C8A64498">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024A70"/>
    <w:multiLevelType w:val="hybridMultilevel"/>
    <w:tmpl w:val="BCF2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A5BAC"/>
    <w:multiLevelType w:val="hybridMultilevel"/>
    <w:tmpl w:val="421A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93924"/>
    <w:multiLevelType w:val="hybridMultilevel"/>
    <w:tmpl w:val="7B8285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3C6AAE"/>
    <w:multiLevelType w:val="hybridMultilevel"/>
    <w:tmpl w:val="B5F4ED2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8D51B47"/>
    <w:multiLevelType w:val="multilevel"/>
    <w:tmpl w:val="4B4E7622"/>
    <w:numStyleLink w:val="ZZNumbers"/>
  </w:abstractNum>
  <w:abstractNum w:abstractNumId="9" w15:restartNumberingAfterBreak="0">
    <w:nsid w:val="2D4C7EAA"/>
    <w:multiLevelType w:val="hybridMultilevel"/>
    <w:tmpl w:val="17E4D5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8F71B0"/>
    <w:multiLevelType w:val="hybridMultilevel"/>
    <w:tmpl w:val="7E88BF0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B480820"/>
    <w:multiLevelType w:val="multilevel"/>
    <w:tmpl w:val="E446CF88"/>
    <w:lvl w:ilvl="0">
      <w:start w:val="1"/>
      <w:numFmt w:val="decimal"/>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40066A84"/>
    <w:multiLevelType w:val="hybridMultilevel"/>
    <w:tmpl w:val="53766D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D1B3F"/>
    <w:multiLevelType w:val="hybridMultilevel"/>
    <w:tmpl w:val="86FA90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3666AD9"/>
    <w:multiLevelType w:val="hybridMultilevel"/>
    <w:tmpl w:val="C60EABD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6586436"/>
    <w:multiLevelType w:val="hybridMultilevel"/>
    <w:tmpl w:val="7F3E01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EA729DB"/>
    <w:multiLevelType w:val="hybridMultilevel"/>
    <w:tmpl w:val="F39663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FA06507"/>
    <w:multiLevelType w:val="hybridMultilevel"/>
    <w:tmpl w:val="243EB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BA1E5A"/>
    <w:multiLevelType w:val="multilevel"/>
    <w:tmpl w:val="C546C2FC"/>
    <w:styleLink w:val="ZZBullets"/>
    <w:lvl w:ilvl="0">
      <w:start w:val="1"/>
      <w:numFmt w:val="decimal"/>
      <w:pStyle w:val="DHHSbullet1"/>
      <w:lvlText w:val="%1."/>
      <w:lvlJc w:val="left"/>
      <w:pPr>
        <w:ind w:left="284" w:hanging="284"/>
      </w:pPr>
      <w:rPr>
        <w:rFonts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D71351"/>
    <w:multiLevelType w:val="hybridMultilevel"/>
    <w:tmpl w:val="61881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A55D5D"/>
    <w:multiLevelType w:val="hybridMultilevel"/>
    <w:tmpl w:val="E91EC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463D26"/>
    <w:multiLevelType w:val="multilevel"/>
    <w:tmpl w:val="59FA2A7C"/>
    <w:lvl w:ilvl="0">
      <w:start w:val="1"/>
      <w:numFmt w:val="lowerLetter"/>
      <w:lvlText w:val="%1."/>
      <w:lvlJc w:val="left"/>
      <w:pPr>
        <w:ind w:left="284" w:hanging="284"/>
      </w:pPr>
      <w:rPr>
        <w:rFont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41E22CE"/>
    <w:multiLevelType w:val="hybridMultilevel"/>
    <w:tmpl w:val="BDA0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4946C8"/>
    <w:multiLevelType w:val="hybridMultilevel"/>
    <w:tmpl w:val="960A8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C5F64"/>
    <w:multiLevelType w:val="multilevel"/>
    <w:tmpl w:val="9FAAA5DC"/>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5"/>
  </w:num>
  <w:num w:numId="2">
    <w:abstractNumId w:val="19"/>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24"/>
  </w:num>
  <w:num w:numId="18">
    <w:abstractNumId w:val="3"/>
  </w:num>
  <w:num w:numId="19">
    <w:abstractNumId w:val="14"/>
  </w:num>
  <w:num w:numId="20">
    <w:abstractNumId w:val="3"/>
  </w:num>
  <w:num w:numId="21">
    <w:abstractNumId w:val="14"/>
  </w:num>
  <w:num w:numId="22">
    <w:abstractNumId w:val="9"/>
  </w:num>
  <w:num w:numId="23">
    <w:abstractNumId w:val="18"/>
  </w:num>
  <w:num w:numId="24">
    <w:abstractNumId w:val="6"/>
  </w:num>
  <w:num w:numId="25">
    <w:abstractNumId w:val="10"/>
  </w:num>
  <w:num w:numId="26">
    <w:abstractNumId w:val="4"/>
  </w:num>
  <w:num w:numId="27">
    <w:abstractNumId w:val="13"/>
  </w:num>
  <w:num w:numId="28">
    <w:abstractNumId w:val="15"/>
  </w:num>
  <w:num w:numId="29">
    <w:abstractNumId w:val="17"/>
  </w:num>
  <w:num w:numId="30">
    <w:abstractNumId w:val="7"/>
  </w:num>
  <w:num w:numId="31">
    <w:abstractNumId w:val="16"/>
  </w:num>
  <w:num w:numId="32">
    <w:abstractNumId w:val="23"/>
  </w:num>
  <w:num w:numId="33">
    <w:abstractNumId w:val="22"/>
  </w:num>
  <w:num w:numId="34">
    <w:abstractNumId w:val="2"/>
  </w:num>
  <w:num w:numId="35">
    <w:abstractNumId w:val="11"/>
  </w:num>
  <w:num w:numId="36">
    <w:abstractNumId w:val="20"/>
  </w:num>
  <w:num w:numId="37">
    <w:abstractNumId w:val="1"/>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7B"/>
    <w:rsid w:val="00002990"/>
    <w:rsid w:val="000048AC"/>
    <w:rsid w:val="00014FC4"/>
    <w:rsid w:val="00020AAB"/>
    <w:rsid w:val="000223A4"/>
    <w:rsid w:val="00022E60"/>
    <w:rsid w:val="00026C19"/>
    <w:rsid w:val="00031263"/>
    <w:rsid w:val="00031710"/>
    <w:rsid w:val="00060D9B"/>
    <w:rsid w:val="00060E93"/>
    <w:rsid w:val="0006226C"/>
    <w:rsid w:val="00064936"/>
    <w:rsid w:val="00066E67"/>
    <w:rsid w:val="000734F8"/>
    <w:rsid w:val="000736B8"/>
    <w:rsid w:val="000817CB"/>
    <w:rsid w:val="000873EF"/>
    <w:rsid w:val="000A4D21"/>
    <w:rsid w:val="000B3792"/>
    <w:rsid w:val="000C6242"/>
    <w:rsid w:val="000C68DB"/>
    <w:rsid w:val="000D2C32"/>
    <w:rsid w:val="000D5EC7"/>
    <w:rsid w:val="000D7E0B"/>
    <w:rsid w:val="000E6F72"/>
    <w:rsid w:val="000F0478"/>
    <w:rsid w:val="000F0A50"/>
    <w:rsid w:val="000F25FA"/>
    <w:rsid w:val="00102705"/>
    <w:rsid w:val="00103D5E"/>
    <w:rsid w:val="0010437D"/>
    <w:rsid w:val="00104EA7"/>
    <w:rsid w:val="0010544B"/>
    <w:rsid w:val="00105FAD"/>
    <w:rsid w:val="0011155B"/>
    <w:rsid w:val="00111A6A"/>
    <w:rsid w:val="00121BF1"/>
    <w:rsid w:val="00127A8B"/>
    <w:rsid w:val="00134BE5"/>
    <w:rsid w:val="001412D1"/>
    <w:rsid w:val="001423E3"/>
    <w:rsid w:val="00146676"/>
    <w:rsid w:val="001475EA"/>
    <w:rsid w:val="001504F5"/>
    <w:rsid w:val="001517BD"/>
    <w:rsid w:val="00162523"/>
    <w:rsid w:val="00171026"/>
    <w:rsid w:val="0017248D"/>
    <w:rsid w:val="00173626"/>
    <w:rsid w:val="0017614A"/>
    <w:rsid w:val="0017642E"/>
    <w:rsid w:val="001817CD"/>
    <w:rsid w:val="0018235E"/>
    <w:rsid w:val="00184148"/>
    <w:rsid w:val="00186CCA"/>
    <w:rsid w:val="00187409"/>
    <w:rsid w:val="0018768C"/>
    <w:rsid w:val="00192BA0"/>
    <w:rsid w:val="00197303"/>
    <w:rsid w:val="001A17EA"/>
    <w:rsid w:val="001A22AA"/>
    <w:rsid w:val="001A66D3"/>
    <w:rsid w:val="001A7A18"/>
    <w:rsid w:val="001B1565"/>
    <w:rsid w:val="001B166D"/>
    <w:rsid w:val="001B28B5"/>
    <w:rsid w:val="001B2975"/>
    <w:rsid w:val="001B5688"/>
    <w:rsid w:val="001C122D"/>
    <w:rsid w:val="001C2DDD"/>
    <w:rsid w:val="001D2A82"/>
    <w:rsid w:val="001D569B"/>
    <w:rsid w:val="001E0EA3"/>
    <w:rsid w:val="001E4995"/>
    <w:rsid w:val="001F09DC"/>
    <w:rsid w:val="001F43E6"/>
    <w:rsid w:val="001F5F0D"/>
    <w:rsid w:val="00213772"/>
    <w:rsid w:val="00220749"/>
    <w:rsid w:val="0022422C"/>
    <w:rsid w:val="0022724E"/>
    <w:rsid w:val="00230666"/>
    <w:rsid w:val="00231153"/>
    <w:rsid w:val="00231E0A"/>
    <w:rsid w:val="0023252E"/>
    <w:rsid w:val="0023402C"/>
    <w:rsid w:val="00241C31"/>
    <w:rsid w:val="00241FB3"/>
    <w:rsid w:val="002421D7"/>
    <w:rsid w:val="002679D5"/>
    <w:rsid w:val="002714FD"/>
    <w:rsid w:val="00275F94"/>
    <w:rsid w:val="00281B9C"/>
    <w:rsid w:val="00284C9B"/>
    <w:rsid w:val="002A141B"/>
    <w:rsid w:val="002A26B6"/>
    <w:rsid w:val="002A3F16"/>
    <w:rsid w:val="002A460E"/>
    <w:rsid w:val="002A6A4E"/>
    <w:rsid w:val="002B5A85"/>
    <w:rsid w:val="002B63A7"/>
    <w:rsid w:val="002C5543"/>
    <w:rsid w:val="002D0F7F"/>
    <w:rsid w:val="002E0198"/>
    <w:rsid w:val="002E1D7C"/>
    <w:rsid w:val="002F0AD4"/>
    <w:rsid w:val="002F449B"/>
    <w:rsid w:val="002F4D86"/>
    <w:rsid w:val="002F5D69"/>
    <w:rsid w:val="002F7C77"/>
    <w:rsid w:val="00300CB3"/>
    <w:rsid w:val="0030394B"/>
    <w:rsid w:val="003072C6"/>
    <w:rsid w:val="00310D8E"/>
    <w:rsid w:val="00315BBD"/>
    <w:rsid w:val="0031753A"/>
    <w:rsid w:val="00320293"/>
    <w:rsid w:val="00321F8B"/>
    <w:rsid w:val="00322CC2"/>
    <w:rsid w:val="003271DC"/>
    <w:rsid w:val="00334B54"/>
    <w:rsid w:val="0033739E"/>
    <w:rsid w:val="00343733"/>
    <w:rsid w:val="0035438C"/>
    <w:rsid w:val="00355886"/>
    <w:rsid w:val="00356814"/>
    <w:rsid w:val="00363D3F"/>
    <w:rsid w:val="0038019F"/>
    <w:rsid w:val="00382071"/>
    <w:rsid w:val="003826E9"/>
    <w:rsid w:val="00394C4B"/>
    <w:rsid w:val="003A2F25"/>
    <w:rsid w:val="003B2807"/>
    <w:rsid w:val="003B5849"/>
    <w:rsid w:val="003C1731"/>
    <w:rsid w:val="003C68F2"/>
    <w:rsid w:val="003C6BDE"/>
    <w:rsid w:val="003D5CFB"/>
    <w:rsid w:val="003E2636"/>
    <w:rsid w:val="003E2E12"/>
    <w:rsid w:val="003F108C"/>
    <w:rsid w:val="003F39CE"/>
    <w:rsid w:val="00401108"/>
    <w:rsid w:val="00402927"/>
    <w:rsid w:val="00407993"/>
    <w:rsid w:val="00411833"/>
    <w:rsid w:val="00412F64"/>
    <w:rsid w:val="00417BEB"/>
    <w:rsid w:val="004258ED"/>
    <w:rsid w:val="004324FF"/>
    <w:rsid w:val="00432A55"/>
    <w:rsid w:val="0044260A"/>
    <w:rsid w:val="00444D82"/>
    <w:rsid w:val="004564C6"/>
    <w:rsid w:val="004610CC"/>
    <w:rsid w:val="00465464"/>
    <w:rsid w:val="00465E87"/>
    <w:rsid w:val="00470867"/>
    <w:rsid w:val="00472C79"/>
    <w:rsid w:val="0047786A"/>
    <w:rsid w:val="00477A65"/>
    <w:rsid w:val="00482DB3"/>
    <w:rsid w:val="004A0236"/>
    <w:rsid w:val="004A369A"/>
    <w:rsid w:val="004A3B3E"/>
    <w:rsid w:val="004A641D"/>
    <w:rsid w:val="004B5B20"/>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27A7"/>
    <w:rsid w:val="005139EA"/>
    <w:rsid w:val="00520BBB"/>
    <w:rsid w:val="00525456"/>
    <w:rsid w:val="00532236"/>
    <w:rsid w:val="00541DFE"/>
    <w:rsid w:val="00543E6C"/>
    <w:rsid w:val="00544184"/>
    <w:rsid w:val="00546461"/>
    <w:rsid w:val="005552FD"/>
    <w:rsid w:val="005600E5"/>
    <w:rsid w:val="00564E8F"/>
    <w:rsid w:val="005728A4"/>
    <w:rsid w:val="005763FC"/>
    <w:rsid w:val="00576EB4"/>
    <w:rsid w:val="00581A57"/>
    <w:rsid w:val="00582768"/>
    <w:rsid w:val="00583461"/>
    <w:rsid w:val="005856A4"/>
    <w:rsid w:val="00590730"/>
    <w:rsid w:val="005A3051"/>
    <w:rsid w:val="005A53FE"/>
    <w:rsid w:val="005A7585"/>
    <w:rsid w:val="005B7D22"/>
    <w:rsid w:val="005C029E"/>
    <w:rsid w:val="005C2684"/>
    <w:rsid w:val="005E085D"/>
    <w:rsid w:val="005E123A"/>
    <w:rsid w:val="005E3FA7"/>
    <w:rsid w:val="005E7963"/>
    <w:rsid w:val="005F0815"/>
    <w:rsid w:val="005F218C"/>
    <w:rsid w:val="005F4523"/>
    <w:rsid w:val="005F5ACC"/>
    <w:rsid w:val="00601D4D"/>
    <w:rsid w:val="006021B4"/>
    <w:rsid w:val="00605B5B"/>
    <w:rsid w:val="006062D8"/>
    <w:rsid w:val="00606827"/>
    <w:rsid w:val="00620262"/>
    <w:rsid w:val="00621B4C"/>
    <w:rsid w:val="00627C52"/>
    <w:rsid w:val="00630937"/>
    <w:rsid w:val="00653B84"/>
    <w:rsid w:val="00653E0D"/>
    <w:rsid w:val="00662E9F"/>
    <w:rsid w:val="00664BDC"/>
    <w:rsid w:val="006752D7"/>
    <w:rsid w:val="006865C8"/>
    <w:rsid w:val="00686B48"/>
    <w:rsid w:val="00687038"/>
    <w:rsid w:val="0068714E"/>
    <w:rsid w:val="006929F7"/>
    <w:rsid w:val="0069374A"/>
    <w:rsid w:val="00694AB8"/>
    <w:rsid w:val="00695EF7"/>
    <w:rsid w:val="0069699D"/>
    <w:rsid w:val="006A17D5"/>
    <w:rsid w:val="006A7D9F"/>
    <w:rsid w:val="006B2C51"/>
    <w:rsid w:val="006B6361"/>
    <w:rsid w:val="006D360C"/>
    <w:rsid w:val="006D5AC9"/>
    <w:rsid w:val="006D66ED"/>
    <w:rsid w:val="006E786B"/>
    <w:rsid w:val="006F3A21"/>
    <w:rsid w:val="007002B1"/>
    <w:rsid w:val="00704EB7"/>
    <w:rsid w:val="00705742"/>
    <w:rsid w:val="007104FE"/>
    <w:rsid w:val="007121A2"/>
    <w:rsid w:val="00713981"/>
    <w:rsid w:val="007176D6"/>
    <w:rsid w:val="00727D54"/>
    <w:rsid w:val="007344C5"/>
    <w:rsid w:val="00734959"/>
    <w:rsid w:val="00735137"/>
    <w:rsid w:val="0073520D"/>
    <w:rsid w:val="0076168F"/>
    <w:rsid w:val="00780226"/>
    <w:rsid w:val="007805D9"/>
    <w:rsid w:val="00780965"/>
    <w:rsid w:val="00781AB4"/>
    <w:rsid w:val="0078291C"/>
    <w:rsid w:val="007923B7"/>
    <w:rsid w:val="00792616"/>
    <w:rsid w:val="007926BB"/>
    <w:rsid w:val="0079344C"/>
    <w:rsid w:val="007A0283"/>
    <w:rsid w:val="007A0524"/>
    <w:rsid w:val="007A7959"/>
    <w:rsid w:val="007B418F"/>
    <w:rsid w:val="007C02C7"/>
    <w:rsid w:val="007C1C1E"/>
    <w:rsid w:val="007C21EE"/>
    <w:rsid w:val="007D3A2E"/>
    <w:rsid w:val="007D6652"/>
    <w:rsid w:val="007E343D"/>
    <w:rsid w:val="007E3BFD"/>
    <w:rsid w:val="007F4383"/>
    <w:rsid w:val="007F6FF2"/>
    <w:rsid w:val="00801601"/>
    <w:rsid w:val="00803AB8"/>
    <w:rsid w:val="00810991"/>
    <w:rsid w:val="00814A9B"/>
    <w:rsid w:val="00814F66"/>
    <w:rsid w:val="00817C9E"/>
    <w:rsid w:val="008205AF"/>
    <w:rsid w:val="008225E5"/>
    <w:rsid w:val="00831053"/>
    <w:rsid w:val="008314D2"/>
    <w:rsid w:val="0083254D"/>
    <w:rsid w:val="00836249"/>
    <w:rsid w:val="00836F00"/>
    <w:rsid w:val="00846192"/>
    <w:rsid w:val="0084692C"/>
    <w:rsid w:val="00850806"/>
    <w:rsid w:val="00856A1B"/>
    <w:rsid w:val="008621C3"/>
    <w:rsid w:val="00865486"/>
    <w:rsid w:val="00874AF7"/>
    <w:rsid w:val="00874D35"/>
    <w:rsid w:val="00876275"/>
    <w:rsid w:val="00882B99"/>
    <w:rsid w:val="00891D33"/>
    <w:rsid w:val="00894F63"/>
    <w:rsid w:val="008A295B"/>
    <w:rsid w:val="008A6604"/>
    <w:rsid w:val="008B4F8B"/>
    <w:rsid w:val="008B5482"/>
    <w:rsid w:val="008C11F4"/>
    <w:rsid w:val="008C2BEC"/>
    <w:rsid w:val="008C6D0E"/>
    <w:rsid w:val="008D09D2"/>
    <w:rsid w:val="008D39C5"/>
    <w:rsid w:val="008E1D89"/>
    <w:rsid w:val="008E3E3E"/>
    <w:rsid w:val="008E672A"/>
    <w:rsid w:val="008F5F87"/>
    <w:rsid w:val="00900A34"/>
    <w:rsid w:val="00907073"/>
    <w:rsid w:val="00915926"/>
    <w:rsid w:val="00917992"/>
    <w:rsid w:val="009208F5"/>
    <w:rsid w:val="00927D51"/>
    <w:rsid w:val="00930336"/>
    <w:rsid w:val="00932272"/>
    <w:rsid w:val="00932862"/>
    <w:rsid w:val="00935D60"/>
    <w:rsid w:val="009447BB"/>
    <w:rsid w:val="00944C48"/>
    <w:rsid w:val="00946335"/>
    <w:rsid w:val="009513C4"/>
    <w:rsid w:val="00955E55"/>
    <w:rsid w:val="0095665B"/>
    <w:rsid w:val="00962200"/>
    <w:rsid w:val="00966F54"/>
    <w:rsid w:val="00975E61"/>
    <w:rsid w:val="00976E31"/>
    <w:rsid w:val="00977C63"/>
    <w:rsid w:val="00980087"/>
    <w:rsid w:val="00980C0B"/>
    <w:rsid w:val="0098524F"/>
    <w:rsid w:val="00986DA6"/>
    <w:rsid w:val="00987ABE"/>
    <w:rsid w:val="009906C7"/>
    <w:rsid w:val="009963CD"/>
    <w:rsid w:val="009A2F9F"/>
    <w:rsid w:val="009B266D"/>
    <w:rsid w:val="009B5CBF"/>
    <w:rsid w:val="009C0C36"/>
    <w:rsid w:val="009C184A"/>
    <w:rsid w:val="009C2CA5"/>
    <w:rsid w:val="009D3E45"/>
    <w:rsid w:val="009F0A7B"/>
    <w:rsid w:val="009F0CFA"/>
    <w:rsid w:val="009F17E4"/>
    <w:rsid w:val="009F18C1"/>
    <w:rsid w:val="009F351F"/>
    <w:rsid w:val="009F3F89"/>
    <w:rsid w:val="009F480E"/>
    <w:rsid w:val="00A022A2"/>
    <w:rsid w:val="00A02D15"/>
    <w:rsid w:val="00A04D0A"/>
    <w:rsid w:val="00A11403"/>
    <w:rsid w:val="00A21B3B"/>
    <w:rsid w:val="00A23BF8"/>
    <w:rsid w:val="00A26B0D"/>
    <w:rsid w:val="00A3735A"/>
    <w:rsid w:val="00A42F1B"/>
    <w:rsid w:val="00A522EF"/>
    <w:rsid w:val="00A539EF"/>
    <w:rsid w:val="00A546BC"/>
    <w:rsid w:val="00A55989"/>
    <w:rsid w:val="00A5694A"/>
    <w:rsid w:val="00A63DA4"/>
    <w:rsid w:val="00A75CD5"/>
    <w:rsid w:val="00A83DF3"/>
    <w:rsid w:val="00A85915"/>
    <w:rsid w:val="00A952AB"/>
    <w:rsid w:val="00A9783D"/>
    <w:rsid w:val="00AA100A"/>
    <w:rsid w:val="00AA45E6"/>
    <w:rsid w:val="00AA5A37"/>
    <w:rsid w:val="00AB489C"/>
    <w:rsid w:val="00AB50C1"/>
    <w:rsid w:val="00AB6936"/>
    <w:rsid w:val="00AC0C3B"/>
    <w:rsid w:val="00AC2D63"/>
    <w:rsid w:val="00AC43EA"/>
    <w:rsid w:val="00AD03D8"/>
    <w:rsid w:val="00AD0711"/>
    <w:rsid w:val="00AD5E50"/>
    <w:rsid w:val="00AD704E"/>
    <w:rsid w:val="00AE12E3"/>
    <w:rsid w:val="00AE5FE0"/>
    <w:rsid w:val="00AE60B7"/>
    <w:rsid w:val="00AF2AB7"/>
    <w:rsid w:val="00AF2B1C"/>
    <w:rsid w:val="00AF4D3F"/>
    <w:rsid w:val="00B0300B"/>
    <w:rsid w:val="00B05457"/>
    <w:rsid w:val="00B128A0"/>
    <w:rsid w:val="00B20240"/>
    <w:rsid w:val="00B23281"/>
    <w:rsid w:val="00B27571"/>
    <w:rsid w:val="00B4164B"/>
    <w:rsid w:val="00B508DB"/>
    <w:rsid w:val="00B53CD5"/>
    <w:rsid w:val="00B5409A"/>
    <w:rsid w:val="00B55574"/>
    <w:rsid w:val="00B600A1"/>
    <w:rsid w:val="00B63B37"/>
    <w:rsid w:val="00B6525D"/>
    <w:rsid w:val="00B65ABA"/>
    <w:rsid w:val="00B6790F"/>
    <w:rsid w:val="00B71B3B"/>
    <w:rsid w:val="00B73DB9"/>
    <w:rsid w:val="00B74285"/>
    <w:rsid w:val="00B87D61"/>
    <w:rsid w:val="00B93948"/>
    <w:rsid w:val="00BA082B"/>
    <w:rsid w:val="00BA4BC7"/>
    <w:rsid w:val="00BA5178"/>
    <w:rsid w:val="00BA55B7"/>
    <w:rsid w:val="00BA5E47"/>
    <w:rsid w:val="00BA7D57"/>
    <w:rsid w:val="00BB156E"/>
    <w:rsid w:val="00BB3330"/>
    <w:rsid w:val="00BB47D7"/>
    <w:rsid w:val="00BB4A62"/>
    <w:rsid w:val="00BC01C1"/>
    <w:rsid w:val="00BC4188"/>
    <w:rsid w:val="00BC5A0D"/>
    <w:rsid w:val="00BC5A34"/>
    <w:rsid w:val="00BD17F5"/>
    <w:rsid w:val="00BD6E05"/>
    <w:rsid w:val="00BE30C4"/>
    <w:rsid w:val="00BE54D0"/>
    <w:rsid w:val="00BF6B6C"/>
    <w:rsid w:val="00BF7251"/>
    <w:rsid w:val="00BF7F28"/>
    <w:rsid w:val="00C01909"/>
    <w:rsid w:val="00C05787"/>
    <w:rsid w:val="00C12799"/>
    <w:rsid w:val="00C13059"/>
    <w:rsid w:val="00C156D4"/>
    <w:rsid w:val="00C167A3"/>
    <w:rsid w:val="00C2181C"/>
    <w:rsid w:val="00C2657D"/>
    <w:rsid w:val="00C30A55"/>
    <w:rsid w:val="00C416E1"/>
    <w:rsid w:val="00C47BF8"/>
    <w:rsid w:val="00C51B1C"/>
    <w:rsid w:val="00C53DCE"/>
    <w:rsid w:val="00C655F2"/>
    <w:rsid w:val="00C65B61"/>
    <w:rsid w:val="00C70E53"/>
    <w:rsid w:val="00C72979"/>
    <w:rsid w:val="00C732E5"/>
    <w:rsid w:val="00C81529"/>
    <w:rsid w:val="00C81BA6"/>
    <w:rsid w:val="00C8377C"/>
    <w:rsid w:val="00C877CD"/>
    <w:rsid w:val="00C8785A"/>
    <w:rsid w:val="00C902E9"/>
    <w:rsid w:val="00C908B7"/>
    <w:rsid w:val="00C91D81"/>
    <w:rsid w:val="00C92A42"/>
    <w:rsid w:val="00CA1486"/>
    <w:rsid w:val="00CA18F2"/>
    <w:rsid w:val="00CA4871"/>
    <w:rsid w:val="00CA4DBA"/>
    <w:rsid w:val="00CA6722"/>
    <w:rsid w:val="00CA6D4E"/>
    <w:rsid w:val="00CA7B4B"/>
    <w:rsid w:val="00CB36A8"/>
    <w:rsid w:val="00CC139A"/>
    <w:rsid w:val="00CC1E7A"/>
    <w:rsid w:val="00CC4F64"/>
    <w:rsid w:val="00CD058C"/>
    <w:rsid w:val="00CD3B98"/>
    <w:rsid w:val="00CD4216"/>
    <w:rsid w:val="00CD733F"/>
    <w:rsid w:val="00CD79D3"/>
    <w:rsid w:val="00CE0942"/>
    <w:rsid w:val="00CE7CA5"/>
    <w:rsid w:val="00CF1D81"/>
    <w:rsid w:val="00CF2DC9"/>
    <w:rsid w:val="00CF7CB6"/>
    <w:rsid w:val="00D17633"/>
    <w:rsid w:val="00D311AB"/>
    <w:rsid w:val="00D325A8"/>
    <w:rsid w:val="00D36D54"/>
    <w:rsid w:val="00D442AD"/>
    <w:rsid w:val="00D5618A"/>
    <w:rsid w:val="00D5784B"/>
    <w:rsid w:val="00D63EFB"/>
    <w:rsid w:val="00D658AF"/>
    <w:rsid w:val="00D76E15"/>
    <w:rsid w:val="00D77999"/>
    <w:rsid w:val="00D80E82"/>
    <w:rsid w:val="00D83DE9"/>
    <w:rsid w:val="00D8450D"/>
    <w:rsid w:val="00D95AF9"/>
    <w:rsid w:val="00DA09C9"/>
    <w:rsid w:val="00DA1822"/>
    <w:rsid w:val="00DB1A96"/>
    <w:rsid w:val="00DB5E1F"/>
    <w:rsid w:val="00DC19D8"/>
    <w:rsid w:val="00DC2613"/>
    <w:rsid w:val="00DC4512"/>
    <w:rsid w:val="00DD3691"/>
    <w:rsid w:val="00DD4B55"/>
    <w:rsid w:val="00DE1E90"/>
    <w:rsid w:val="00DE23BF"/>
    <w:rsid w:val="00DE24E6"/>
    <w:rsid w:val="00DF07AD"/>
    <w:rsid w:val="00DF3364"/>
    <w:rsid w:val="00DF5D39"/>
    <w:rsid w:val="00E00102"/>
    <w:rsid w:val="00E03EB8"/>
    <w:rsid w:val="00E055BB"/>
    <w:rsid w:val="00E05E7B"/>
    <w:rsid w:val="00E11988"/>
    <w:rsid w:val="00E12037"/>
    <w:rsid w:val="00E15DA9"/>
    <w:rsid w:val="00E2095D"/>
    <w:rsid w:val="00E30414"/>
    <w:rsid w:val="00E33C42"/>
    <w:rsid w:val="00E40769"/>
    <w:rsid w:val="00E60F12"/>
    <w:rsid w:val="00E61A27"/>
    <w:rsid w:val="00E652FB"/>
    <w:rsid w:val="00E66C20"/>
    <w:rsid w:val="00E7085E"/>
    <w:rsid w:val="00E71C46"/>
    <w:rsid w:val="00E75ED2"/>
    <w:rsid w:val="00E801BB"/>
    <w:rsid w:val="00E8280C"/>
    <w:rsid w:val="00E83E4C"/>
    <w:rsid w:val="00E91933"/>
    <w:rsid w:val="00E928FB"/>
    <w:rsid w:val="00E92A81"/>
    <w:rsid w:val="00E969B1"/>
    <w:rsid w:val="00E97A69"/>
    <w:rsid w:val="00EB04B7"/>
    <w:rsid w:val="00EB60C9"/>
    <w:rsid w:val="00EB6552"/>
    <w:rsid w:val="00EB72FE"/>
    <w:rsid w:val="00EC18E6"/>
    <w:rsid w:val="00EC1984"/>
    <w:rsid w:val="00EC234C"/>
    <w:rsid w:val="00EC701B"/>
    <w:rsid w:val="00ED3529"/>
    <w:rsid w:val="00ED4D17"/>
    <w:rsid w:val="00EE3123"/>
    <w:rsid w:val="00EE5AE3"/>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567BB"/>
    <w:rsid w:val="00F601A8"/>
    <w:rsid w:val="00F61E78"/>
    <w:rsid w:val="00F635C5"/>
    <w:rsid w:val="00F736E3"/>
    <w:rsid w:val="00F767E8"/>
    <w:rsid w:val="00F86A3F"/>
    <w:rsid w:val="00F91297"/>
    <w:rsid w:val="00F9133B"/>
    <w:rsid w:val="00F9359A"/>
    <w:rsid w:val="00F97730"/>
    <w:rsid w:val="00FA77D7"/>
    <w:rsid w:val="00FB32A4"/>
    <w:rsid w:val="00FB594D"/>
    <w:rsid w:val="00FC4053"/>
    <w:rsid w:val="00FC49BB"/>
    <w:rsid w:val="00FD616B"/>
    <w:rsid w:val="00FE367F"/>
    <w:rsid w:val="00FE50A8"/>
    <w:rsid w:val="00FF29DC"/>
    <w:rsid w:val="00FF4E13"/>
    <w:rsid w:val="00FF61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45BF584"/>
  <w15:docId w15:val="{1524C2E7-5E51-47E0-BBE5-E02F4ACB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38"/>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38"/>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38"/>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38"/>
      </w:numPr>
      <w:spacing w:after="40"/>
    </w:pPr>
  </w:style>
  <w:style w:type="paragraph" w:customStyle="1" w:styleId="DHHSbulletindentlastline">
    <w:name w:val="DHHS bullet indent last line"/>
    <w:basedOn w:val="DHHSbody"/>
    <w:uiPriority w:val="4"/>
    <w:rsid w:val="00CF7CB6"/>
    <w:pPr>
      <w:numPr>
        <w:ilvl w:val="5"/>
        <w:numId w:val="38"/>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table" w:customStyle="1" w:styleId="TableGrid1">
    <w:name w:val="Table Grid1"/>
    <w:basedOn w:val="TableNormal"/>
    <w:uiPriority w:val="59"/>
    <w:rsid w:val="005F081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026"/>
    <w:pPr>
      <w:autoSpaceDE w:val="0"/>
      <w:autoSpaceDN w:val="0"/>
      <w:adjustRightInd w:val="0"/>
    </w:pPr>
    <w:rPr>
      <w:rFonts w:ascii="Montserrat" w:hAnsi="Montserrat" w:cs="Montserrat"/>
      <w:color w:val="000000"/>
      <w:sz w:val="24"/>
      <w:szCs w:val="24"/>
    </w:rPr>
  </w:style>
  <w:style w:type="paragraph" w:styleId="ListParagraph">
    <w:name w:val="List Paragraph"/>
    <w:basedOn w:val="Normal"/>
    <w:uiPriority w:val="72"/>
    <w:semiHidden/>
    <w:qFormat/>
    <w:rsid w:val="00EE3123"/>
    <w:pPr>
      <w:ind w:left="720"/>
      <w:contextualSpacing/>
    </w:pPr>
  </w:style>
  <w:style w:type="character" w:styleId="CommentReference">
    <w:name w:val="annotation reference"/>
    <w:basedOn w:val="DefaultParagraphFont"/>
    <w:uiPriority w:val="99"/>
    <w:semiHidden/>
    <w:unhideWhenUsed/>
    <w:rsid w:val="00EB04B7"/>
    <w:rPr>
      <w:sz w:val="16"/>
      <w:szCs w:val="16"/>
    </w:rPr>
  </w:style>
  <w:style w:type="paragraph" w:styleId="CommentText">
    <w:name w:val="annotation text"/>
    <w:basedOn w:val="Normal"/>
    <w:link w:val="CommentTextChar"/>
    <w:uiPriority w:val="99"/>
    <w:semiHidden/>
    <w:unhideWhenUsed/>
    <w:rsid w:val="00EB04B7"/>
  </w:style>
  <w:style w:type="character" w:customStyle="1" w:styleId="CommentTextChar">
    <w:name w:val="Comment Text Char"/>
    <w:basedOn w:val="DefaultParagraphFont"/>
    <w:link w:val="CommentText"/>
    <w:uiPriority w:val="99"/>
    <w:semiHidden/>
    <w:rsid w:val="00EB04B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B04B7"/>
    <w:rPr>
      <w:b/>
      <w:bCs/>
    </w:rPr>
  </w:style>
  <w:style w:type="character" w:customStyle="1" w:styleId="CommentSubjectChar">
    <w:name w:val="Comment Subject Char"/>
    <w:basedOn w:val="CommentTextChar"/>
    <w:link w:val="CommentSubject"/>
    <w:uiPriority w:val="99"/>
    <w:semiHidden/>
    <w:rsid w:val="00EB04B7"/>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4675">
      <w:bodyDiv w:val="1"/>
      <w:marLeft w:val="0"/>
      <w:marRight w:val="0"/>
      <w:marTop w:val="0"/>
      <w:marBottom w:val="0"/>
      <w:divBdr>
        <w:top w:val="none" w:sz="0" w:space="0" w:color="auto"/>
        <w:left w:val="none" w:sz="0" w:space="0" w:color="auto"/>
        <w:bottom w:val="none" w:sz="0" w:space="0" w:color="auto"/>
        <w:right w:val="none" w:sz="0" w:space="0" w:color="auto"/>
      </w:divBdr>
    </w:div>
    <w:div w:id="614679988">
      <w:bodyDiv w:val="1"/>
      <w:marLeft w:val="0"/>
      <w:marRight w:val="0"/>
      <w:marTop w:val="0"/>
      <w:marBottom w:val="0"/>
      <w:divBdr>
        <w:top w:val="none" w:sz="0" w:space="0" w:color="auto"/>
        <w:left w:val="none" w:sz="0" w:space="0" w:color="auto"/>
        <w:bottom w:val="none" w:sz="0" w:space="0" w:color="auto"/>
        <w:right w:val="none" w:sz="0" w:space="0" w:color="auto"/>
      </w:divBdr>
    </w:div>
    <w:div w:id="1169297578">
      <w:bodyDiv w:val="1"/>
      <w:marLeft w:val="0"/>
      <w:marRight w:val="0"/>
      <w:marTop w:val="0"/>
      <w:marBottom w:val="0"/>
      <w:divBdr>
        <w:top w:val="none" w:sz="0" w:space="0" w:color="auto"/>
        <w:left w:val="none" w:sz="0" w:space="0" w:color="auto"/>
        <w:bottom w:val="none" w:sz="0" w:space="0" w:color="auto"/>
        <w:right w:val="none" w:sz="0" w:space="0" w:color="auto"/>
      </w:divBdr>
    </w:div>
    <w:div w:id="1355108547">
      <w:bodyDiv w:val="1"/>
      <w:marLeft w:val="0"/>
      <w:marRight w:val="0"/>
      <w:marTop w:val="0"/>
      <w:marBottom w:val="0"/>
      <w:divBdr>
        <w:top w:val="none" w:sz="0" w:space="0" w:color="auto"/>
        <w:left w:val="none" w:sz="0" w:space="0" w:color="auto"/>
        <w:bottom w:val="none" w:sz="0" w:space="0" w:color="auto"/>
        <w:right w:val="none" w:sz="0" w:space="0" w:color="auto"/>
      </w:divBdr>
    </w:div>
    <w:div w:id="149568760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1289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port.vic.gov.au/victorian-anti-doping-policy-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ort.vic.gov.au/publications-and-resources/community-sport-resources/fair-play-co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hangeourgame@sport.vic.gov.au"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21B9-F0ED-42F7-B3ED-A1C9A77B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0</TotalTime>
  <Pages>9</Pages>
  <Words>2111</Words>
  <Characters>12035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Change Our Game Scholarship Program</vt:lpstr>
    </vt:vector>
  </TitlesOfParts>
  <Company>Department of Health and Human Services</Company>
  <LinksUpToDate>false</LinksUpToDate>
  <CharactersWithSpaces>14118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Our Game Scholarship Program</dc:title>
  <dc:subject>Change Our Game grants</dc:subject>
  <dc:creator>Office for Women in Sport and Recreation</dc:creator>
  <cp:keywords>COG, leadership, grant, scholarship</cp:keywords>
  <cp:lastModifiedBy>Paul Malbon (VICMIN)</cp:lastModifiedBy>
  <cp:revision>2</cp:revision>
  <cp:lastPrinted>2019-02-01T00:53:00Z</cp:lastPrinted>
  <dcterms:created xsi:type="dcterms:W3CDTF">2019-04-09T21:54:00Z</dcterms:created>
  <dcterms:modified xsi:type="dcterms:W3CDTF">2019-04-09T21:54:00Z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